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86E03" w14:textId="77777777" w:rsidR="004E2199" w:rsidRPr="00B50C9B" w:rsidRDefault="004E2199" w:rsidP="00F065EA">
      <w:pPr>
        <w:jc w:val="right"/>
        <w:rPr>
          <w:rFonts w:ascii="Ping LCG Regular" w:hAnsi="Ping LCG Regular"/>
          <w:b/>
          <w:bCs/>
          <w:color w:val="000000"/>
          <w:sz w:val="40"/>
          <w:szCs w:val="40"/>
          <w:lang w:val="el-GR"/>
        </w:rPr>
      </w:pPr>
    </w:p>
    <w:p w14:paraId="2CCE5417" w14:textId="05167D48" w:rsidR="00054068" w:rsidRPr="00145FF1" w:rsidRDefault="00576B75" w:rsidP="00F065EA">
      <w:pPr>
        <w:jc w:val="right"/>
        <w:rPr>
          <w:rFonts w:ascii="Ping LCG Regular" w:hAnsi="Ping LCG Regular"/>
          <w:b/>
          <w:bCs/>
          <w:color w:val="FFFFFF" w:themeColor="background1"/>
          <w:sz w:val="40"/>
          <w:szCs w:val="40"/>
          <w:lang w:val="el-GR"/>
        </w:rPr>
      </w:pPr>
      <w:r>
        <w:rPr>
          <w:rFonts w:ascii="Ping LCG Regular" w:hAnsi="Ping LCG Regular"/>
          <w:b/>
          <w:bCs/>
          <w:color w:val="FFFFFF" w:themeColor="background1"/>
          <w:sz w:val="40"/>
          <w:szCs w:val="40"/>
          <w:lang w:val="el-GR"/>
        </w:rPr>
        <w:t>Δελτίο Τύπου</w:t>
      </w:r>
    </w:p>
    <w:p w14:paraId="785BA584" w14:textId="77777777" w:rsidR="00054068" w:rsidRPr="00145FF1" w:rsidRDefault="00054068" w:rsidP="00054068">
      <w:pPr>
        <w:rPr>
          <w:rFonts w:ascii="Ping LCG Regular" w:hAnsi="Ping LCG Regular"/>
          <w:b/>
          <w:bCs/>
          <w:color w:val="000000"/>
          <w:sz w:val="28"/>
          <w:szCs w:val="28"/>
          <w:lang w:val="el-GR"/>
        </w:rPr>
      </w:pPr>
    </w:p>
    <w:p w14:paraId="5CB67630" w14:textId="20517C04" w:rsidR="00054068" w:rsidRPr="00145FF1" w:rsidRDefault="0094778E" w:rsidP="0080532B">
      <w:pPr>
        <w:tabs>
          <w:tab w:val="left" w:pos="2127"/>
        </w:tabs>
        <w:ind w:left="1276"/>
        <w:jc w:val="right"/>
        <w:rPr>
          <w:rFonts w:ascii="Ping LCG Regular" w:hAnsi="Ping LCG Regular"/>
          <w:sz w:val="22"/>
          <w:szCs w:val="22"/>
          <w:lang w:val="el-GR"/>
        </w:rPr>
      </w:pPr>
      <w:r>
        <w:rPr>
          <w:rFonts w:ascii="Ping LCG Regular" w:hAnsi="Ping LCG Regular"/>
          <w:sz w:val="22"/>
          <w:szCs w:val="22"/>
          <w:lang w:val="el-GR"/>
        </w:rPr>
        <w:t>6</w:t>
      </w:r>
      <w:r w:rsidR="00576B75">
        <w:rPr>
          <w:rFonts w:ascii="Ping LCG Regular" w:hAnsi="Ping LCG Regular"/>
          <w:sz w:val="22"/>
          <w:szCs w:val="22"/>
          <w:lang w:val="el-GR"/>
        </w:rPr>
        <w:t xml:space="preserve"> </w:t>
      </w:r>
      <w:r>
        <w:rPr>
          <w:rFonts w:ascii="Ping LCG Regular" w:hAnsi="Ping LCG Regular"/>
          <w:sz w:val="22"/>
          <w:szCs w:val="22"/>
          <w:lang w:val="el-GR"/>
        </w:rPr>
        <w:t>Αυγούστου</w:t>
      </w:r>
      <w:r w:rsidR="00576B75">
        <w:rPr>
          <w:rFonts w:ascii="Ping LCG Regular" w:hAnsi="Ping LCG Regular"/>
          <w:sz w:val="22"/>
          <w:szCs w:val="22"/>
          <w:lang w:val="el-GR"/>
        </w:rPr>
        <w:t xml:space="preserve"> </w:t>
      </w:r>
      <w:r w:rsidR="00764096" w:rsidRPr="00145FF1">
        <w:rPr>
          <w:rFonts w:ascii="Ping LCG Regular" w:hAnsi="Ping LCG Regular"/>
          <w:sz w:val="22"/>
          <w:szCs w:val="22"/>
          <w:lang w:val="el-GR"/>
        </w:rPr>
        <w:t>2024</w:t>
      </w:r>
    </w:p>
    <w:p w14:paraId="18C53B2E" w14:textId="77777777" w:rsidR="00585A7A" w:rsidRPr="00145FF1" w:rsidRDefault="00585A7A" w:rsidP="00585A7A">
      <w:pPr>
        <w:jc w:val="center"/>
        <w:rPr>
          <w:rFonts w:ascii="Ping LCG Regular" w:hAnsi="Ping LCG Regular" w:cstheme="minorHAnsi"/>
          <w:b/>
          <w:bCs/>
          <w:sz w:val="28"/>
          <w:szCs w:val="28"/>
          <w:highlight w:val="yellow"/>
          <w:lang w:val="el-GR"/>
        </w:rPr>
      </w:pPr>
    </w:p>
    <w:p w14:paraId="343C93AD" w14:textId="77777777" w:rsidR="009A7D5B" w:rsidRDefault="000D0865" w:rsidP="00145FF1">
      <w:pPr>
        <w:jc w:val="center"/>
        <w:rPr>
          <w:rFonts w:ascii="Ping LCG Regular" w:hAnsi="Ping LCG Regular" w:cstheme="minorHAnsi"/>
          <w:b/>
          <w:bCs/>
          <w:sz w:val="28"/>
          <w:szCs w:val="28"/>
          <w:lang w:val="el-GR"/>
        </w:rPr>
      </w:pPr>
      <w:r>
        <w:rPr>
          <w:rFonts w:ascii="Ping LCG Regular" w:hAnsi="Ping LCG Regular" w:cstheme="minorHAnsi"/>
          <w:b/>
          <w:bCs/>
          <w:sz w:val="28"/>
          <w:szCs w:val="28"/>
          <w:lang w:val="el-GR"/>
        </w:rPr>
        <w:t xml:space="preserve">Ισχυρά </w:t>
      </w:r>
      <w:r w:rsidR="009C711F" w:rsidRPr="000B2640">
        <w:rPr>
          <w:rFonts w:ascii="Ping LCG Regular" w:hAnsi="Ping LCG Regular" w:cstheme="minorHAnsi"/>
          <w:b/>
          <w:bCs/>
          <w:sz w:val="28"/>
          <w:szCs w:val="28"/>
          <w:lang w:val="el-GR"/>
        </w:rPr>
        <w:t xml:space="preserve">αποτελέσματα </w:t>
      </w:r>
      <w:r w:rsidR="002E3B67" w:rsidRPr="003F6755">
        <w:rPr>
          <w:rFonts w:ascii="Ping LCG Regular" w:hAnsi="Ping LCG Regular" w:cstheme="minorHAnsi"/>
          <w:b/>
          <w:bCs/>
          <w:sz w:val="28"/>
          <w:szCs w:val="28"/>
          <w:lang w:val="el-GR"/>
        </w:rPr>
        <w:t>με</w:t>
      </w:r>
      <w:r w:rsidR="004A1F28" w:rsidRPr="003F6755">
        <w:rPr>
          <w:rFonts w:ascii="Ping LCG Regular" w:hAnsi="Ping LCG Regular" w:cstheme="minorHAnsi"/>
          <w:b/>
          <w:bCs/>
          <w:sz w:val="28"/>
          <w:szCs w:val="28"/>
          <w:lang w:val="el-GR"/>
        </w:rPr>
        <w:t xml:space="preserve"> </w:t>
      </w:r>
      <w:r w:rsidR="002E3B67" w:rsidRPr="00B50C9B">
        <w:rPr>
          <w:rFonts w:ascii="Ping LCG Regular" w:hAnsi="Ping LCG Regular" w:cstheme="minorHAnsi"/>
          <w:b/>
          <w:bCs/>
          <w:sz w:val="28"/>
          <w:szCs w:val="28"/>
          <w:lang w:val="el-GR"/>
        </w:rPr>
        <w:t>π</w:t>
      </w:r>
      <w:r w:rsidR="00D4545D" w:rsidRPr="00B50C9B">
        <w:rPr>
          <w:rFonts w:ascii="Ping LCG Regular" w:hAnsi="Ping LCG Regular" w:cstheme="minorHAnsi"/>
          <w:b/>
          <w:bCs/>
          <w:sz w:val="28"/>
          <w:szCs w:val="28"/>
          <w:lang w:val="el-GR"/>
        </w:rPr>
        <w:t>ροσαρμοσμένο</w:t>
      </w:r>
      <w:r w:rsidR="009C711F" w:rsidRPr="003F6755">
        <w:rPr>
          <w:rFonts w:ascii="Ping LCG Regular" w:hAnsi="Ping LCG Regular" w:cstheme="minorHAnsi"/>
          <w:b/>
          <w:bCs/>
          <w:sz w:val="28"/>
          <w:szCs w:val="28"/>
          <w:lang w:val="el-GR"/>
        </w:rPr>
        <w:t xml:space="preserve"> EBITDA</w:t>
      </w:r>
      <w:r w:rsidR="009C711F" w:rsidRPr="009C711F">
        <w:rPr>
          <w:rFonts w:ascii="Ping LCG Regular" w:hAnsi="Ping LCG Regular" w:cstheme="minorHAnsi"/>
          <w:b/>
          <w:bCs/>
          <w:sz w:val="28"/>
          <w:szCs w:val="28"/>
          <w:lang w:val="el-GR"/>
        </w:rPr>
        <w:t xml:space="preserve"> στα </w:t>
      </w:r>
    </w:p>
    <w:p w14:paraId="5E2F08F6" w14:textId="3ED077DC" w:rsidR="00145FF1" w:rsidRPr="00175613" w:rsidRDefault="009C711F" w:rsidP="00145FF1">
      <w:pPr>
        <w:jc w:val="center"/>
        <w:rPr>
          <w:rFonts w:ascii="Ping LCG Regular" w:hAnsi="Ping LCG Regular" w:cstheme="minorHAnsi"/>
          <w:b/>
          <w:bCs/>
          <w:sz w:val="28"/>
          <w:szCs w:val="28"/>
          <w:lang w:val="el-GR"/>
        </w:rPr>
      </w:pPr>
      <w:r w:rsidRPr="009C711F">
        <w:rPr>
          <w:rFonts w:ascii="Ping LCG Regular" w:hAnsi="Ping LCG Regular" w:cstheme="minorHAnsi"/>
          <w:b/>
          <w:bCs/>
          <w:sz w:val="28"/>
          <w:szCs w:val="28"/>
          <w:lang w:val="el-GR"/>
        </w:rPr>
        <w:t>€</w:t>
      </w:r>
      <w:r w:rsidR="00BA364D">
        <w:rPr>
          <w:rFonts w:ascii="Ping LCG Regular" w:hAnsi="Ping LCG Regular" w:cstheme="minorHAnsi"/>
          <w:b/>
          <w:bCs/>
          <w:sz w:val="28"/>
          <w:szCs w:val="28"/>
          <w:lang w:val="el-GR"/>
        </w:rPr>
        <w:t>92</w:t>
      </w:r>
      <w:r w:rsidR="001B5A37">
        <w:rPr>
          <w:rFonts w:ascii="Ping LCG Regular" w:hAnsi="Ping LCG Regular" w:cstheme="minorHAnsi"/>
          <w:b/>
          <w:bCs/>
          <w:sz w:val="28"/>
          <w:szCs w:val="28"/>
          <w:lang w:val="el-GR"/>
        </w:rPr>
        <w:t>7</w:t>
      </w:r>
      <w:r w:rsidR="00721B6A" w:rsidRPr="00704014">
        <w:rPr>
          <w:rFonts w:ascii="Ping LCG Regular" w:hAnsi="Ping LCG Regular" w:cstheme="minorHAnsi"/>
          <w:b/>
          <w:bCs/>
          <w:sz w:val="28"/>
          <w:szCs w:val="28"/>
          <w:lang w:val="el-GR"/>
        </w:rPr>
        <w:t xml:space="preserve"> </w:t>
      </w:r>
      <w:r w:rsidRPr="009C711F">
        <w:rPr>
          <w:rFonts w:ascii="Ping LCG Regular" w:hAnsi="Ping LCG Regular" w:cstheme="minorHAnsi"/>
          <w:b/>
          <w:bCs/>
          <w:sz w:val="28"/>
          <w:szCs w:val="28"/>
          <w:lang w:val="el-GR"/>
        </w:rPr>
        <w:t>εκ</w:t>
      </w:r>
      <w:r>
        <w:rPr>
          <w:rFonts w:ascii="Ping LCG Regular" w:hAnsi="Ping LCG Regular" w:cstheme="minorHAnsi"/>
          <w:b/>
          <w:bCs/>
          <w:sz w:val="28"/>
          <w:szCs w:val="28"/>
          <w:lang w:val="el-GR"/>
        </w:rPr>
        <w:t>ατ.</w:t>
      </w:r>
      <w:r w:rsidR="004A1F28">
        <w:rPr>
          <w:rFonts w:ascii="Ping LCG Regular" w:hAnsi="Ping LCG Regular" w:cstheme="minorHAnsi"/>
          <w:b/>
          <w:bCs/>
          <w:sz w:val="28"/>
          <w:szCs w:val="28"/>
          <w:lang w:val="el-GR"/>
        </w:rPr>
        <w:t xml:space="preserve"> για το α΄εξάμηνο 2024</w:t>
      </w:r>
      <w:r w:rsidR="00E11E9A">
        <w:rPr>
          <w:rFonts w:ascii="Ping LCG Regular" w:hAnsi="Ping LCG Regular" w:cstheme="minorHAnsi"/>
          <w:b/>
          <w:bCs/>
          <w:sz w:val="28"/>
          <w:szCs w:val="28"/>
          <w:lang w:val="el-GR"/>
        </w:rPr>
        <w:t xml:space="preserve"> αυξημένο κατά </w:t>
      </w:r>
      <w:r w:rsidR="00CA24C5">
        <w:rPr>
          <w:rFonts w:ascii="Ping LCG Regular" w:hAnsi="Ping LCG Regular" w:cstheme="minorHAnsi"/>
          <w:b/>
          <w:bCs/>
          <w:sz w:val="28"/>
          <w:szCs w:val="28"/>
          <w:lang w:val="el-GR"/>
        </w:rPr>
        <w:t>57</w:t>
      </w:r>
      <w:r w:rsidR="00E11E9A">
        <w:rPr>
          <w:rFonts w:ascii="Ping LCG Regular" w:hAnsi="Ping LCG Regular" w:cstheme="minorHAnsi"/>
          <w:b/>
          <w:bCs/>
          <w:sz w:val="28"/>
          <w:szCs w:val="28"/>
          <w:lang w:val="el-GR"/>
        </w:rPr>
        <w:t>%</w:t>
      </w:r>
    </w:p>
    <w:p w14:paraId="06F61141" w14:textId="77777777" w:rsidR="002E3B67" w:rsidRPr="00B50C9B" w:rsidRDefault="002E3B67" w:rsidP="003432BC">
      <w:pPr>
        <w:rPr>
          <w:rFonts w:ascii="Ping LCG Regular" w:hAnsi="Ping LCG Regular"/>
          <w:b/>
          <w:bCs/>
          <w:sz w:val="28"/>
          <w:szCs w:val="28"/>
          <w:lang w:val="el-GR"/>
        </w:rPr>
      </w:pPr>
    </w:p>
    <w:p w14:paraId="06030DCD" w14:textId="03D0FDAE" w:rsidR="00145FF1" w:rsidRPr="000E0AFF" w:rsidRDefault="00C358A8" w:rsidP="003432BC">
      <w:pPr>
        <w:pStyle w:val="a8"/>
        <w:numPr>
          <w:ilvl w:val="0"/>
          <w:numId w:val="4"/>
        </w:numPr>
        <w:spacing w:line="320" w:lineRule="atLeast"/>
        <w:ind w:left="357" w:hanging="215"/>
        <w:jc w:val="both"/>
        <w:rPr>
          <w:rFonts w:ascii="Ping LCG Regular" w:hAnsi="Ping LCG Regular"/>
          <w:i/>
          <w:iCs/>
          <w:sz w:val="22"/>
          <w:szCs w:val="22"/>
          <w:lang w:val="el-GR"/>
        </w:rPr>
      </w:pPr>
      <w:r w:rsidRPr="000E0AFF">
        <w:rPr>
          <w:rFonts w:ascii="Ping LCG Regular" w:hAnsi="Ping LCG Regular"/>
          <w:i/>
          <w:iCs/>
          <w:sz w:val="22"/>
          <w:szCs w:val="22"/>
          <w:lang w:val="el-GR"/>
        </w:rPr>
        <w:t>Ε</w:t>
      </w:r>
      <w:r w:rsidR="00536A41" w:rsidRPr="000E0AFF">
        <w:rPr>
          <w:rFonts w:ascii="Ping LCG Regular" w:hAnsi="Ping LCG Regular"/>
          <w:i/>
          <w:iCs/>
          <w:sz w:val="22"/>
          <w:szCs w:val="22"/>
          <w:lang w:val="el-GR"/>
        </w:rPr>
        <w:t>γκατεστημένη ι</w:t>
      </w:r>
      <w:r w:rsidR="00943253" w:rsidRPr="000E0AFF">
        <w:rPr>
          <w:rFonts w:ascii="Ping LCG Regular" w:hAnsi="Ping LCG Regular"/>
          <w:i/>
          <w:iCs/>
          <w:sz w:val="22"/>
          <w:szCs w:val="22"/>
          <w:lang w:val="el-GR"/>
        </w:rPr>
        <w:t>σχύς</w:t>
      </w:r>
      <w:r w:rsidR="00145FF1" w:rsidRPr="000E0AFF">
        <w:rPr>
          <w:rFonts w:ascii="Ping LCG Regular" w:hAnsi="Ping LCG Regular"/>
          <w:i/>
          <w:iCs/>
          <w:sz w:val="22"/>
          <w:szCs w:val="22"/>
          <w:lang w:val="el-GR"/>
        </w:rPr>
        <w:t xml:space="preserve"> </w:t>
      </w:r>
      <w:r w:rsidR="00536A41" w:rsidRPr="000E0AFF">
        <w:rPr>
          <w:rFonts w:ascii="Ping LCG Regular" w:hAnsi="Ping LCG Regular"/>
          <w:i/>
          <w:iCs/>
          <w:sz w:val="22"/>
          <w:szCs w:val="22"/>
          <w:lang w:val="el-GR"/>
        </w:rPr>
        <w:t>σε</w:t>
      </w:r>
      <w:r w:rsidR="00145FF1" w:rsidRPr="000E0AFF">
        <w:rPr>
          <w:rFonts w:ascii="Ping LCG Regular" w:hAnsi="Ping LCG Regular"/>
          <w:i/>
          <w:iCs/>
          <w:sz w:val="22"/>
          <w:szCs w:val="22"/>
          <w:lang w:val="el-GR"/>
        </w:rPr>
        <w:t xml:space="preserve"> ΑΠΕ </w:t>
      </w:r>
      <w:r w:rsidRPr="000E0AFF">
        <w:rPr>
          <w:rFonts w:ascii="Ping LCG Regular" w:hAnsi="Ping LCG Regular"/>
          <w:i/>
          <w:iCs/>
          <w:sz w:val="22"/>
          <w:szCs w:val="22"/>
          <w:lang w:val="el-GR"/>
        </w:rPr>
        <w:t xml:space="preserve">ύψους </w:t>
      </w:r>
      <w:r w:rsidR="0025482C" w:rsidRPr="000E0AFF">
        <w:rPr>
          <w:rFonts w:ascii="Ping LCG Regular" w:hAnsi="Ping LCG Regular"/>
          <w:i/>
          <w:iCs/>
          <w:sz w:val="22"/>
          <w:szCs w:val="22"/>
          <w:lang w:val="el-GR"/>
        </w:rPr>
        <w:t>4</w:t>
      </w:r>
      <w:r w:rsidRPr="000E0AFF">
        <w:rPr>
          <w:rFonts w:ascii="Ping LCG Regular" w:hAnsi="Ping LCG Regular"/>
          <w:i/>
          <w:iCs/>
          <w:sz w:val="22"/>
          <w:szCs w:val="22"/>
          <w:lang w:val="el-GR"/>
        </w:rPr>
        <w:t>,</w:t>
      </w:r>
      <w:r w:rsidR="0025482C" w:rsidRPr="000E0AFF">
        <w:rPr>
          <w:rFonts w:ascii="Ping LCG Regular" w:hAnsi="Ping LCG Regular"/>
          <w:i/>
          <w:iCs/>
          <w:sz w:val="22"/>
          <w:szCs w:val="22"/>
          <w:lang w:val="el-GR"/>
        </w:rPr>
        <w:t>7</w:t>
      </w:r>
      <w:r w:rsidRPr="000E0AFF">
        <w:rPr>
          <w:rFonts w:ascii="Ping LCG Regular" w:hAnsi="Ping LCG Regular"/>
          <w:i/>
          <w:iCs/>
          <w:sz w:val="22"/>
          <w:szCs w:val="22"/>
        </w:rPr>
        <w:t>GW</w:t>
      </w:r>
      <w:r w:rsidRPr="000E0AFF">
        <w:rPr>
          <w:rFonts w:ascii="Ping LCG Regular" w:hAnsi="Ping LCG Regular"/>
          <w:i/>
          <w:iCs/>
          <w:sz w:val="22"/>
          <w:szCs w:val="22"/>
          <w:lang w:val="el-GR"/>
        </w:rPr>
        <w:t xml:space="preserve"> </w:t>
      </w:r>
      <w:r w:rsidR="00A40A5D" w:rsidRPr="000E0AFF">
        <w:rPr>
          <w:rFonts w:ascii="Ping LCG Regular" w:hAnsi="Ping LCG Regular"/>
          <w:i/>
          <w:iCs/>
          <w:sz w:val="22"/>
          <w:szCs w:val="22"/>
          <w:lang w:val="el-GR"/>
        </w:rPr>
        <w:t>–</w:t>
      </w:r>
      <w:r w:rsidR="00816D38" w:rsidRPr="000E0AFF">
        <w:rPr>
          <w:rFonts w:ascii="Ping LCG Regular" w:hAnsi="Ping LCG Regular"/>
          <w:i/>
          <w:iCs/>
          <w:sz w:val="22"/>
          <w:szCs w:val="22"/>
          <w:lang w:val="el-GR"/>
        </w:rPr>
        <w:t xml:space="preserve"> </w:t>
      </w:r>
      <w:r w:rsidR="00A40A5D" w:rsidRPr="000E0AFF">
        <w:rPr>
          <w:rFonts w:ascii="Ping LCG Regular" w:hAnsi="Ping LCG Regular"/>
          <w:i/>
          <w:iCs/>
          <w:sz w:val="22"/>
          <w:szCs w:val="22"/>
          <w:lang w:val="el-GR"/>
        </w:rPr>
        <w:t>Περαιτέρω ωρίμανση του χαρτοφυλακίου έργων</w:t>
      </w:r>
      <w:r w:rsidR="00735E93" w:rsidRPr="000E0AFF">
        <w:rPr>
          <w:rFonts w:ascii="Ping LCG Regular" w:hAnsi="Ping LCG Regular"/>
          <w:i/>
          <w:iCs/>
          <w:sz w:val="22"/>
          <w:szCs w:val="22"/>
          <w:lang w:val="el-GR"/>
        </w:rPr>
        <w:t xml:space="preserve"> έχοντας εξασφαλίσει </w:t>
      </w:r>
      <w:r w:rsidR="00703997" w:rsidRPr="005F2202">
        <w:rPr>
          <w:rFonts w:ascii="Ping LCG Regular" w:hAnsi="Ping LCG Regular"/>
          <w:i/>
          <w:iCs/>
          <w:sz w:val="22"/>
          <w:szCs w:val="22"/>
          <w:lang w:val="el-GR"/>
        </w:rPr>
        <w:t xml:space="preserve">επιπλέον </w:t>
      </w:r>
      <w:r w:rsidR="009A7DBC" w:rsidRPr="00B50C9B">
        <w:rPr>
          <w:rFonts w:ascii="Ping LCG Regular" w:hAnsi="Ping LCG Regular"/>
          <w:i/>
          <w:iCs/>
          <w:sz w:val="22"/>
          <w:szCs w:val="22"/>
          <w:lang w:val="el-GR"/>
        </w:rPr>
        <w:t xml:space="preserve">ισχύ </w:t>
      </w:r>
      <w:r w:rsidR="000E1492" w:rsidRPr="000E0AFF">
        <w:rPr>
          <w:rFonts w:ascii="Ping LCG Regular" w:hAnsi="Ping LCG Regular"/>
          <w:i/>
          <w:iCs/>
          <w:sz w:val="22"/>
          <w:szCs w:val="22"/>
          <w:lang w:val="el-GR"/>
        </w:rPr>
        <w:t>3,3</w:t>
      </w:r>
      <w:r w:rsidR="000E1492" w:rsidRPr="000E0AFF">
        <w:rPr>
          <w:rFonts w:ascii="Ping LCG Regular" w:hAnsi="Ping LCG Regular"/>
          <w:i/>
          <w:iCs/>
          <w:sz w:val="22"/>
          <w:szCs w:val="22"/>
        </w:rPr>
        <w:t>GW</w:t>
      </w:r>
      <w:r w:rsidR="000E1492" w:rsidRPr="000E0AFF">
        <w:rPr>
          <w:rFonts w:ascii="Ping LCG Regular" w:hAnsi="Ping LCG Regular"/>
          <w:i/>
          <w:iCs/>
          <w:sz w:val="22"/>
          <w:szCs w:val="22"/>
          <w:lang w:val="el-GR"/>
        </w:rPr>
        <w:t xml:space="preserve"> </w:t>
      </w:r>
      <w:r w:rsidR="00730964" w:rsidRPr="000E0AFF">
        <w:rPr>
          <w:rFonts w:ascii="Ping LCG Regular" w:hAnsi="Ping LCG Regular"/>
          <w:i/>
          <w:iCs/>
          <w:sz w:val="22"/>
          <w:szCs w:val="22"/>
          <w:lang w:val="el-GR"/>
        </w:rPr>
        <w:t xml:space="preserve">για </w:t>
      </w:r>
      <w:r w:rsidR="00145FF1" w:rsidRPr="000E0AFF">
        <w:rPr>
          <w:rFonts w:ascii="Ping LCG Regular" w:hAnsi="Ping LCG Regular"/>
          <w:i/>
          <w:iCs/>
          <w:sz w:val="22"/>
          <w:szCs w:val="22"/>
          <w:lang w:val="el-GR"/>
        </w:rPr>
        <w:t xml:space="preserve">την επίτευξη του στόχου </w:t>
      </w:r>
      <w:r w:rsidR="00F569CC" w:rsidRPr="000E0AFF">
        <w:rPr>
          <w:rFonts w:ascii="Ping LCG Regular" w:hAnsi="Ping LCG Regular"/>
          <w:i/>
          <w:iCs/>
          <w:sz w:val="22"/>
          <w:szCs w:val="22"/>
          <w:lang w:val="el-GR"/>
        </w:rPr>
        <w:t xml:space="preserve">των </w:t>
      </w:r>
      <w:r w:rsidR="0025482C" w:rsidRPr="000E0AFF">
        <w:rPr>
          <w:rFonts w:ascii="Ping LCG Regular" w:hAnsi="Ping LCG Regular"/>
          <w:i/>
          <w:iCs/>
          <w:sz w:val="22"/>
          <w:szCs w:val="22"/>
          <w:lang w:val="el-GR"/>
        </w:rPr>
        <w:t>8,9</w:t>
      </w:r>
      <w:r w:rsidR="00F569CC" w:rsidRPr="000E0AFF">
        <w:rPr>
          <w:rFonts w:ascii="Ping LCG Regular" w:hAnsi="Ping LCG Regular"/>
          <w:i/>
          <w:iCs/>
          <w:sz w:val="22"/>
          <w:szCs w:val="22"/>
        </w:rPr>
        <w:t>GW</w:t>
      </w:r>
      <w:r w:rsidR="00F569CC" w:rsidRPr="000E0AFF">
        <w:rPr>
          <w:rFonts w:ascii="Ping LCG Regular" w:hAnsi="Ping LCG Regular"/>
          <w:i/>
          <w:iCs/>
          <w:sz w:val="22"/>
          <w:szCs w:val="22"/>
          <w:lang w:val="el-GR"/>
        </w:rPr>
        <w:t xml:space="preserve"> </w:t>
      </w:r>
      <w:r w:rsidR="00145FF1" w:rsidRPr="000E0AFF">
        <w:rPr>
          <w:rFonts w:ascii="Ping LCG Regular" w:hAnsi="Ping LCG Regular"/>
          <w:i/>
          <w:iCs/>
          <w:sz w:val="22"/>
          <w:szCs w:val="22"/>
          <w:lang w:val="el-GR"/>
        </w:rPr>
        <w:t>το 2026</w:t>
      </w:r>
      <w:r w:rsidR="00703997" w:rsidRPr="000E0AFF">
        <w:rPr>
          <w:rFonts w:ascii="Ping LCG Regular" w:hAnsi="Ping LCG Regular"/>
          <w:i/>
          <w:iCs/>
          <w:sz w:val="22"/>
          <w:szCs w:val="22"/>
          <w:lang w:val="el-GR"/>
        </w:rPr>
        <w:t xml:space="preserve"> (</w:t>
      </w:r>
      <w:r w:rsidR="00692D73" w:rsidRPr="000E0AFF">
        <w:rPr>
          <w:rFonts w:ascii="Ping LCG Regular" w:hAnsi="Ping LCG Regular"/>
          <w:i/>
          <w:iCs/>
          <w:sz w:val="22"/>
          <w:szCs w:val="22"/>
          <w:lang w:val="el-GR"/>
        </w:rPr>
        <w:t xml:space="preserve">90% </w:t>
      </w:r>
      <w:r w:rsidR="00E93564" w:rsidRPr="000E0AFF">
        <w:rPr>
          <w:rFonts w:ascii="Ping LCG Regular" w:hAnsi="Ping LCG Regular"/>
          <w:i/>
          <w:iCs/>
          <w:sz w:val="22"/>
          <w:szCs w:val="22"/>
          <w:lang w:val="el-GR"/>
        </w:rPr>
        <w:t>του</w:t>
      </w:r>
      <w:r w:rsidR="00405E39" w:rsidRPr="000E0AFF">
        <w:rPr>
          <w:rFonts w:ascii="Ping LCG Regular" w:hAnsi="Ping LCG Regular"/>
          <w:i/>
          <w:iCs/>
          <w:sz w:val="22"/>
          <w:szCs w:val="22"/>
          <w:lang w:val="el-GR"/>
        </w:rPr>
        <w:t xml:space="preserve"> στόχου</w:t>
      </w:r>
      <w:r w:rsidR="009B4D4C" w:rsidRPr="00B50C9B">
        <w:rPr>
          <w:rFonts w:ascii="Ping LCG Regular" w:hAnsi="Ping LCG Regular"/>
          <w:i/>
          <w:iCs/>
          <w:sz w:val="22"/>
          <w:szCs w:val="22"/>
          <w:lang w:val="el-GR"/>
        </w:rPr>
        <w:t xml:space="preserve"> του 2026 είναι ήδη </w:t>
      </w:r>
      <w:r w:rsidR="00FC46A1" w:rsidRPr="00B50C9B">
        <w:rPr>
          <w:rFonts w:ascii="Ping LCG Regular" w:hAnsi="Ping LCG Regular"/>
          <w:i/>
          <w:iCs/>
          <w:sz w:val="22"/>
          <w:szCs w:val="22"/>
          <w:lang w:val="el-GR"/>
        </w:rPr>
        <w:t xml:space="preserve">είτε </w:t>
      </w:r>
      <w:r w:rsidR="009B4D4C" w:rsidRPr="00B50C9B">
        <w:rPr>
          <w:rFonts w:ascii="Ping LCG Regular" w:hAnsi="Ping LCG Regular"/>
          <w:i/>
          <w:iCs/>
          <w:sz w:val="22"/>
          <w:szCs w:val="22"/>
          <w:lang w:val="el-GR"/>
        </w:rPr>
        <w:t>σε λειτουργία</w:t>
      </w:r>
      <w:r w:rsidR="00FC46A1" w:rsidRPr="000E0AFF">
        <w:rPr>
          <w:rFonts w:ascii="Ping LCG Regular" w:hAnsi="Ping LCG Regular"/>
          <w:i/>
          <w:iCs/>
          <w:sz w:val="22"/>
          <w:szCs w:val="22"/>
          <w:lang w:val="el-GR"/>
        </w:rPr>
        <w:t xml:space="preserve"> είτε</w:t>
      </w:r>
      <w:r w:rsidR="00AA747D" w:rsidRPr="000E0AFF">
        <w:rPr>
          <w:rFonts w:ascii="Ping LCG Regular" w:hAnsi="Ping LCG Regular"/>
          <w:i/>
          <w:iCs/>
          <w:sz w:val="22"/>
          <w:szCs w:val="22"/>
          <w:lang w:val="el-GR"/>
        </w:rPr>
        <w:t xml:space="preserve"> έργα</w:t>
      </w:r>
      <w:r w:rsidR="00FC46A1" w:rsidRPr="000E0AFF">
        <w:rPr>
          <w:rFonts w:ascii="Ping LCG Regular" w:hAnsi="Ping LCG Regular"/>
          <w:i/>
          <w:iCs/>
          <w:sz w:val="22"/>
          <w:szCs w:val="22"/>
          <w:lang w:val="el-GR"/>
        </w:rPr>
        <w:t xml:space="preserve"> υπό κατασκευή ή έτοιμα προς κατασκευή</w:t>
      </w:r>
      <w:r w:rsidR="00AA747D" w:rsidRPr="000E0AFF">
        <w:rPr>
          <w:rFonts w:ascii="Ping LCG Regular" w:hAnsi="Ping LCG Regular"/>
          <w:i/>
          <w:iCs/>
          <w:sz w:val="22"/>
          <w:szCs w:val="22"/>
          <w:lang w:val="el-GR"/>
        </w:rPr>
        <w:t>)</w:t>
      </w:r>
    </w:p>
    <w:p w14:paraId="3E353309" w14:textId="57E3155C" w:rsidR="00145FF1" w:rsidRPr="009D3794" w:rsidRDefault="00145FF1" w:rsidP="003432BC">
      <w:pPr>
        <w:pStyle w:val="a8"/>
        <w:numPr>
          <w:ilvl w:val="0"/>
          <w:numId w:val="4"/>
        </w:numPr>
        <w:spacing w:line="320" w:lineRule="atLeast"/>
        <w:ind w:left="357" w:hanging="215"/>
        <w:jc w:val="both"/>
        <w:rPr>
          <w:rFonts w:ascii="Ping LCG Regular" w:hAnsi="Ping LCG Regular"/>
          <w:i/>
          <w:iCs/>
          <w:sz w:val="22"/>
          <w:szCs w:val="22"/>
          <w:lang w:val="el-GR"/>
        </w:rPr>
      </w:pPr>
      <w:r w:rsidRPr="009D3794">
        <w:rPr>
          <w:rFonts w:ascii="Ping LCG Regular" w:hAnsi="Ping LCG Regular"/>
          <w:i/>
          <w:iCs/>
          <w:sz w:val="22"/>
          <w:szCs w:val="22"/>
          <w:lang w:val="el-GR"/>
        </w:rPr>
        <w:t xml:space="preserve">Μείωση των </w:t>
      </w:r>
      <w:r w:rsidR="00E808DD">
        <w:rPr>
          <w:rFonts w:ascii="Ping LCG Regular" w:hAnsi="Ping LCG Regular"/>
          <w:i/>
          <w:iCs/>
          <w:sz w:val="22"/>
          <w:szCs w:val="22"/>
          <w:lang w:val="el-GR"/>
        </w:rPr>
        <w:t xml:space="preserve">άμεσων </w:t>
      </w:r>
      <w:r w:rsidRPr="009D3794">
        <w:rPr>
          <w:rFonts w:ascii="Ping LCG Regular" w:hAnsi="Ping LCG Regular"/>
          <w:i/>
          <w:iCs/>
          <w:sz w:val="22"/>
          <w:szCs w:val="22"/>
          <w:lang w:val="el-GR"/>
        </w:rPr>
        <w:t xml:space="preserve">εκπομπών </w:t>
      </w:r>
      <w:r w:rsidRPr="006F72BA">
        <w:rPr>
          <w:rFonts w:ascii="Ping LCG Regular" w:hAnsi="Ping LCG Regular"/>
          <w:i/>
          <w:iCs/>
          <w:sz w:val="22"/>
          <w:szCs w:val="22"/>
          <w:lang w:val="el-GR"/>
        </w:rPr>
        <w:t>CO</w:t>
      </w:r>
      <w:r w:rsidRPr="003432BC">
        <w:rPr>
          <w:rFonts w:ascii="Ping LCG Regular" w:hAnsi="Ping LCG Regular"/>
          <w:i/>
          <w:iCs/>
          <w:sz w:val="22"/>
          <w:szCs w:val="22"/>
          <w:vertAlign w:val="subscript"/>
          <w:lang w:val="el-GR"/>
        </w:rPr>
        <w:t>2</w:t>
      </w:r>
      <w:r w:rsidR="00356810" w:rsidRPr="006F72BA">
        <w:rPr>
          <w:rFonts w:ascii="Ping LCG Regular" w:hAnsi="Ping LCG Regular"/>
          <w:i/>
          <w:iCs/>
          <w:sz w:val="22"/>
          <w:szCs w:val="22"/>
          <w:lang w:val="el-GR"/>
        </w:rPr>
        <w:t xml:space="preserve"> </w:t>
      </w:r>
      <w:r w:rsidR="00953577">
        <w:rPr>
          <w:rFonts w:ascii="Ping LCG Regular" w:hAnsi="Ping LCG Regular"/>
          <w:i/>
          <w:iCs/>
          <w:sz w:val="22"/>
          <w:szCs w:val="22"/>
          <w:lang w:val="el-GR"/>
        </w:rPr>
        <w:t>κ</w:t>
      </w:r>
      <w:r w:rsidRPr="009D3794">
        <w:rPr>
          <w:rFonts w:ascii="Ping LCG Regular" w:hAnsi="Ping LCG Regular"/>
          <w:i/>
          <w:iCs/>
          <w:sz w:val="22"/>
          <w:szCs w:val="22"/>
          <w:lang w:val="el-GR"/>
        </w:rPr>
        <w:t xml:space="preserve">ατά </w:t>
      </w:r>
      <w:r w:rsidR="00DE2CC4" w:rsidRPr="009D3794">
        <w:rPr>
          <w:rFonts w:ascii="Ping LCG Regular" w:hAnsi="Ping LCG Regular"/>
          <w:i/>
          <w:iCs/>
          <w:sz w:val="22"/>
          <w:szCs w:val="22"/>
          <w:lang w:val="el-GR"/>
        </w:rPr>
        <w:t>8</w:t>
      </w:r>
      <w:r w:rsidRPr="009D3794">
        <w:rPr>
          <w:rFonts w:ascii="Ping LCG Regular" w:hAnsi="Ping LCG Regular"/>
          <w:i/>
          <w:iCs/>
          <w:sz w:val="22"/>
          <w:szCs w:val="22"/>
          <w:lang w:val="el-GR"/>
        </w:rPr>
        <w:t xml:space="preserve">% </w:t>
      </w:r>
      <w:r w:rsidR="00AD4E80">
        <w:rPr>
          <w:rFonts w:ascii="Ping LCG Regular" w:hAnsi="Ping LCG Regular"/>
          <w:i/>
          <w:iCs/>
          <w:sz w:val="22"/>
          <w:szCs w:val="22"/>
          <w:lang w:val="el-GR"/>
        </w:rPr>
        <w:t xml:space="preserve">σε σχέση με </w:t>
      </w:r>
      <w:r w:rsidR="00444602">
        <w:rPr>
          <w:rFonts w:ascii="Ping LCG Regular" w:hAnsi="Ping LCG Regular"/>
          <w:i/>
          <w:iCs/>
          <w:sz w:val="22"/>
          <w:szCs w:val="22"/>
          <w:lang w:val="el-GR"/>
        </w:rPr>
        <w:t xml:space="preserve">το α΄ εξάμηνο 2023, </w:t>
      </w:r>
      <w:r w:rsidR="00DE2CC4" w:rsidRPr="009D3794">
        <w:rPr>
          <w:rFonts w:ascii="Ping LCG Regular" w:hAnsi="Ping LCG Regular"/>
          <w:i/>
          <w:iCs/>
          <w:sz w:val="22"/>
          <w:szCs w:val="22"/>
          <w:lang w:val="el-GR"/>
        </w:rPr>
        <w:t xml:space="preserve">με </w:t>
      </w:r>
      <w:r w:rsidR="005E30E1" w:rsidRPr="009D3794">
        <w:rPr>
          <w:rFonts w:ascii="Ping LCG Regular" w:hAnsi="Ping LCG Regular"/>
          <w:i/>
          <w:iCs/>
          <w:sz w:val="22"/>
          <w:szCs w:val="22"/>
          <w:lang w:val="el-GR"/>
        </w:rPr>
        <w:t>τη</w:t>
      </w:r>
      <w:r w:rsidR="00427E2D">
        <w:rPr>
          <w:rFonts w:ascii="Ping LCG Regular" w:hAnsi="Ping LCG Regular"/>
          <w:i/>
          <w:iCs/>
          <w:sz w:val="22"/>
          <w:szCs w:val="22"/>
          <w:lang w:val="el-GR"/>
        </w:rPr>
        <w:t>ν</w:t>
      </w:r>
      <w:r w:rsidR="00DB48A5" w:rsidRPr="00704014">
        <w:rPr>
          <w:rFonts w:ascii="Ping LCG Regular" w:hAnsi="Ping LCG Regular"/>
          <w:i/>
          <w:iCs/>
          <w:sz w:val="22"/>
          <w:szCs w:val="22"/>
          <w:lang w:val="el-GR"/>
        </w:rPr>
        <w:t xml:space="preserve"> </w:t>
      </w:r>
      <w:r w:rsidR="00DB48A5">
        <w:rPr>
          <w:rFonts w:ascii="Ping LCG Regular" w:hAnsi="Ping LCG Regular"/>
          <w:i/>
          <w:iCs/>
          <w:sz w:val="22"/>
          <w:szCs w:val="22"/>
          <w:lang w:val="el-GR"/>
        </w:rPr>
        <w:t xml:space="preserve">λιγνιτική παραγωγή </w:t>
      </w:r>
      <w:r w:rsidR="00E31D9B">
        <w:rPr>
          <w:rFonts w:ascii="Ping LCG Regular" w:hAnsi="Ping LCG Regular"/>
          <w:i/>
          <w:iCs/>
          <w:sz w:val="22"/>
          <w:szCs w:val="22"/>
          <w:lang w:val="el-GR"/>
        </w:rPr>
        <w:t xml:space="preserve">να </w:t>
      </w:r>
      <w:r w:rsidR="006E54A5">
        <w:rPr>
          <w:rFonts w:ascii="Ping LCG Regular" w:hAnsi="Ping LCG Regular"/>
          <w:i/>
          <w:iCs/>
          <w:sz w:val="22"/>
          <w:szCs w:val="22"/>
          <w:lang w:val="el-GR"/>
        </w:rPr>
        <w:t xml:space="preserve">έχει μειωθεί </w:t>
      </w:r>
      <w:r w:rsidR="00CD7EEF">
        <w:rPr>
          <w:rFonts w:ascii="Ping LCG Regular" w:hAnsi="Ping LCG Regular"/>
          <w:i/>
          <w:iCs/>
          <w:sz w:val="22"/>
          <w:szCs w:val="22"/>
          <w:lang w:val="el-GR"/>
        </w:rPr>
        <w:t>σ</w:t>
      </w:r>
      <w:r w:rsidR="00427E2D">
        <w:rPr>
          <w:rFonts w:ascii="Ping LCG Regular" w:hAnsi="Ping LCG Regular"/>
          <w:i/>
          <w:iCs/>
          <w:sz w:val="22"/>
          <w:szCs w:val="22"/>
          <w:lang w:val="el-GR"/>
        </w:rPr>
        <w:t xml:space="preserve">το 16% </w:t>
      </w:r>
      <w:r w:rsidR="0099587B">
        <w:rPr>
          <w:rFonts w:ascii="Ping LCG Regular" w:hAnsi="Ping LCG Regular"/>
          <w:i/>
          <w:iCs/>
          <w:sz w:val="22"/>
          <w:szCs w:val="22"/>
          <w:lang w:val="el-GR"/>
        </w:rPr>
        <w:t>του συνολικού ενεργειακού μείγματος</w:t>
      </w:r>
      <w:r w:rsidR="00770488">
        <w:rPr>
          <w:rFonts w:ascii="Ping LCG Regular" w:hAnsi="Ping LCG Regular"/>
          <w:i/>
          <w:iCs/>
          <w:sz w:val="22"/>
          <w:szCs w:val="22"/>
          <w:lang w:val="el-GR"/>
        </w:rPr>
        <w:t xml:space="preserve"> της ΔΕΗ</w:t>
      </w:r>
      <w:r w:rsidR="00BA7F4A">
        <w:rPr>
          <w:rFonts w:ascii="Ping LCG Regular" w:hAnsi="Ping LCG Regular"/>
          <w:i/>
          <w:iCs/>
          <w:sz w:val="22"/>
          <w:szCs w:val="22"/>
          <w:lang w:val="el-GR"/>
        </w:rPr>
        <w:t xml:space="preserve"> </w:t>
      </w:r>
      <w:r w:rsidR="00B33FAB">
        <w:rPr>
          <w:rFonts w:ascii="Ping LCG Regular" w:hAnsi="Ping LCG Regular"/>
          <w:i/>
          <w:iCs/>
          <w:sz w:val="22"/>
          <w:szCs w:val="22"/>
          <w:lang w:val="el-GR"/>
        </w:rPr>
        <w:t>και την παραγωγή από ΑΠΕ να έχει αυξηθεί στο 33%</w:t>
      </w:r>
    </w:p>
    <w:p w14:paraId="19F3B7A3" w14:textId="77D3E85C" w:rsidR="00145FF1" w:rsidRDefault="001830EF" w:rsidP="003432BC">
      <w:pPr>
        <w:pStyle w:val="a8"/>
        <w:numPr>
          <w:ilvl w:val="0"/>
          <w:numId w:val="4"/>
        </w:numPr>
        <w:spacing w:line="320" w:lineRule="atLeast"/>
        <w:ind w:left="357" w:hanging="215"/>
        <w:jc w:val="both"/>
        <w:rPr>
          <w:rFonts w:ascii="Ping LCG Regular" w:hAnsi="Ping LCG Regular"/>
          <w:i/>
          <w:iCs/>
          <w:sz w:val="22"/>
          <w:szCs w:val="22"/>
          <w:lang w:val="el-GR"/>
        </w:rPr>
      </w:pPr>
      <w:r w:rsidRPr="001830EF">
        <w:rPr>
          <w:rFonts w:ascii="Ping LCG Regular" w:hAnsi="Ping LCG Regular"/>
          <w:i/>
          <w:iCs/>
          <w:sz w:val="22"/>
          <w:szCs w:val="22"/>
          <w:lang w:val="el-GR"/>
        </w:rPr>
        <w:t xml:space="preserve">Αύξηση επενδύσεων κατά </w:t>
      </w:r>
      <w:r w:rsidR="00A50328" w:rsidRPr="00B50C9B">
        <w:rPr>
          <w:rFonts w:ascii="Ping LCG Regular" w:hAnsi="Ping LCG Regular"/>
          <w:i/>
          <w:iCs/>
          <w:sz w:val="22"/>
          <w:szCs w:val="22"/>
          <w:lang w:val="el-GR"/>
        </w:rPr>
        <w:t>124</w:t>
      </w:r>
      <w:r w:rsidRPr="001830EF">
        <w:rPr>
          <w:rFonts w:ascii="Ping LCG Regular" w:hAnsi="Ping LCG Regular"/>
          <w:i/>
          <w:iCs/>
          <w:sz w:val="22"/>
          <w:szCs w:val="22"/>
          <w:lang w:val="el-GR"/>
        </w:rPr>
        <w:t>%</w:t>
      </w:r>
      <w:r w:rsidR="00D03F63">
        <w:rPr>
          <w:rFonts w:ascii="Ping LCG Regular" w:hAnsi="Ping LCG Regular"/>
          <w:i/>
          <w:iCs/>
          <w:sz w:val="22"/>
          <w:szCs w:val="22"/>
          <w:lang w:val="el-GR"/>
        </w:rPr>
        <w:t xml:space="preserve"> </w:t>
      </w:r>
      <w:r w:rsidR="00F258C0">
        <w:rPr>
          <w:rFonts w:ascii="Ping LCG Regular" w:hAnsi="Ping LCG Regular"/>
          <w:i/>
          <w:iCs/>
          <w:sz w:val="22"/>
          <w:szCs w:val="22"/>
          <w:lang w:val="el-GR"/>
        </w:rPr>
        <w:t xml:space="preserve">με </w:t>
      </w:r>
      <w:r w:rsidR="003B1B92" w:rsidRPr="005A52C0">
        <w:rPr>
          <w:rFonts w:ascii="Ping LCG Regular" w:hAnsi="Ping LCG Regular"/>
          <w:i/>
          <w:iCs/>
          <w:sz w:val="22"/>
          <w:szCs w:val="22"/>
          <w:lang w:val="el-GR"/>
        </w:rPr>
        <w:t xml:space="preserve">περίπου </w:t>
      </w:r>
      <w:r w:rsidR="006D4C39" w:rsidRPr="005A52C0">
        <w:rPr>
          <w:rFonts w:ascii="Ping LCG Regular" w:hAnsi="Ping LCG Regular"/>
          <w:i/>
          <w:iCs/>
          <w:sz w:val="22"/>
          <w:szCs w:val="22"/>
          <w:lang w:val="el-GR"/>
        </w:rPr>
        <w:t>70</w:t>
      </w:r>
      <w:r w:rsidR="00C8399D" w:rsidRPr="005A52C0">
        <w:rPr>
          <w:rFonts w:ascii="Ping LCG Regular" w:hAnsi="Ping LCG Regular"/>
          <w:i/>
          <w:iCs/>
          <w:sz w:val="22"/>
          <w:szCs w:val="22"/>
          <w:lang w:val="el-GR"/>
        </w:rPr>
        <w:t xml:space="preserve">% </w:t>
      </w:r>
      <w:r w:rsidR="00C8399D" w:rsidRPr="00A85461">
        <w:rPr>
          <w:rFonts w:ascii="Ping LCG Regular" w:hAnsi="Ping LCG Regular"/>
          <w:i/>
          <w:iCs/>
          <w:sz w:val="22"/>
          <w:szCs w:val="22"/>
          <w:lang w:val="el-GR"/>
        </w:rPr>
        <w:t>των</w:t>
      </w:r>
      <w:r w:rsidR="00C8399D">
        <w:rPr>
          <w:rFonts w:ascii="Ping LCG Regular" w:hAnsi="Ping LCG Regular"/>
          <w:i/>
          <w:iCs/>
          <w:sz w:val="22"/>
          <w:szCs w:val="22"/>
          <w:lang w:val="el-GR"/>
        </w:rPr>
        <w:t xml:space="preserve"> επενδύσεων </w:t>
      </w:r>
      <w:r w:rsidR="00BC3DF2">
        <w:rPr>
          <w:rFonts w:ascii="Ping LCG Regular" w:hAnsi="Ping LCG Regular"/>
          <w:i/>
          <w:iCs/>
          <w:sz w:val="22"/>
          <w:szCs w:val="22"/>
          <w:lang w:val="el-GR"/>
        </w:rPr>
        <w:t xml:space="preserve">σε </w:t>
      </w:r>
      <w:r w:rsidR="00145FF1" w:rsidRPr="00144C7A">
        <w:rPr>
          <w:rFonts w:ascii="Ping LCG Regular" w:hAnsi="Ping LCG Regular"/>
          <w:i/>
          <w:iCs/>
          <w:sz w:val="22"/>
          <w:szCs w:val="22"/>
          <w:lang w:val="el-GR"/>
        </w:rPr>
        <w:t>έργα ΑΠΕ</w:t>
      </w:r>
      <w:r w:rsidR="00BC3DF2">
        <w:rPr>
          <w:rFonts w:ascii="Ping LCG Regular" w:hAnsi="Ping LCG Regular"/>
          <w:i/>
          <w:iCs/>
          <w:sz w:val="22"/>
          <w:szCs w:val="22"/>
          <w:lang w:val="el-GR"/>
        </w:rPr>
        <w:t xml:space="preserve">, </w:t>
      </w:r>
      <w:r w:rsidR="00145FF1" w:rsidRPr="00144C7A">
        <w:rPr>
          <w:rFonts w:ascii="Ping LCG Regular" w:hAnsi="Ping LCG Regular"/>
          <w:i/>
          <w:iCs/>
          <w:sz w:val="22"/>
          <w:szCs w:val="22"/>
          <w:lang w:val="el-GR"/>
        </w:rPr>
        <w:t>Διανομής</w:t>
      </w:r>
      <w:r w:rsidR="00F80478" w:rsidRPr="00144C7A">
        <w:rPr>
          <w:rFonts w:ascii="Ping LCG Regular" w:hAnsi="Ping LCG Regular"/>
          <w:i/>
          <w:iCs/>
          <w:sz w:val="22"/>
          <w:szCs w:val="22"/>
          <w:lang w:val="el-GR"/>
        </w:rPr>
        <w:t xml:space="preserve"> </w:t>
      </w:r>
      <w:r w:rsidR="00BC3DF2">
        <w:rPr>
          <w:rFonts w:ascii="Ping LCG Regular" w:hAnsi="Ping LCG Regular"/>
          <w:i/>
          <w:iCs/>
          <w:sz w:val="22"/>
          <w:szCs w:val="22"/>
          <w:lang w:val="el-GR"/>
        </w:rPr>
        <w:t xml:space="preserve">και </w:t>
      </w:r>
      <w:r w:rsidR="00777DB3">
        <w:rPr>
          <w:rFonts w:ascii="Ping LCG Regular" w:hAnsi="Ping LCG Regular"/>
          <w:i/>
          <w:iCs/>
          <w:sz w:val="22"/>
          <w:szCs w:val="22"/>
          <w:lang w:val="el-GR"/>
        </w:rPr>
        <w:t>ψ</w:t>
      </w:r>
      <w:r w:rsidR="00BC3DF2">
        <w:rPr>
          <w:rFonts w:ascii="Ping LCG Regular" w:hAnsi="Ping LCG Regular"/>
          <w:i/>
          <w:iCs/>
          <w:sz w:val="22"/>
          <w:szCs w:val="22"/>
          <w:lang w:val="el-GR"/>
        </w:rPr>
        <w:t>ηφιοποίησης</w:t>
      </w:r>
      <w:r w:rsidR="00AC5CED">
        <w:rPr>
          <w:rFonts w:ascii="Ping LCG Regular" w:hAnsi="Ping LCG Regular"/>
          <w:i/>
          <w:iCs/>
          <w:sz w:val="22"/>
          <w:szCs w:val="22"/>
          <w:lang w:val="el-GR"/>
        </w:rPr>
        <w:t>,</w:t>
      </w:r>
      <w:r w:rsidR="00BC3DF2">
        <w:rPr>
          <w:rFonts w:ascii="Ping LCG Regular" w:hAnsi="Ping LCG Regular"/>
          <w:i/>
          <w:iCs/>
          <w:sz w:val="22"/>
          <w:szCs w:val="22"/>
          <w:lang w:val="el-GR"/>
        </w:rPr>
        <w:t xml:space="preserve"> </w:t>
      </w:r>
      <w:r w:rsidR="00563179">
        <w:rPr>
          <w:rFonts w:ascii="Ping LCG Regular" w:hAnsi="Ping LCG Regular"/>
          <w:i/>
          <w:iCs/>
          <w:sz w:val="22"/>
          <w:szCs w:val="22"/>
          <w:lang w:val="el-GR"/>
        </w:rPr>
        <w:t xml:space="preserve">σύμφωνα με την στρατηγική </w:t>
      </w:r>
      <w:r w:rsidR="000258D9">
        <w:rPr>
          <w:rFonts w:ascii="Ping LCG Regular" w:hAnsi="Ping LCG Regular"/>
          <w:i/>
          <w:iCs/>
          <w:sz w:val="22"/>
          <w:szCs w:val="22"/>
          <w:lang w:val="el-GR"/>
        </w:rPr>
        <w:t>του Ομίλου</w:t>
      </w:r>
    </w:p>
    <w:p w14:paraId="580BDC8B" w14:textId="0D537964" w:rsidR="00424040" w:rsidRPr="007D6C24" w:rsidRDefault="00C808F7" w:rsidP="003432BC">
      <w:pPr>
        <w:pStyle w:val="a8"/>
        <w:numPr>
          <w:ilvl w:val="0"/>
          <w:numId w:val="4"/>
        </w:numPr>
        <w:spacing w:line="320" w:lineRule="atLeast"/>
        <w:ind w:left="357" w:hanging="215"/>
        <w:jc w:val="both"/>
        <w:rPr>
          <w:rFonts w:ascii="Ping LCG Regular" w:hAnsi="Ping LCG Regular"/>
          <w:i/>
          <w:iCs/>
          <w:sz w:val="22"/>
          <w:szCs w:val="22"/>
          <w:lang w:val="el-GR"/>
        </w:rPr>
      </w:pPr>
      <w:r>
        <w:rPr>
          <w:rFonts w:ascii="Ping LCG Regular" w:hAnsi="Ping LCG Regular"/>
          <w:i/>
          <w:iCs/>
          <w:sz w:val="22"/>
          <w:szCs w:val="22"/>
          <w:lang w:val="el-GR"/>
        </w:rPr>
        <w:t>Επίτευξη</w:t>
      </w:r>
      <w:r w:rsidRPr="007D6C24">
        <w:rPr>
          <w:rFonts w:ascii="Ping LCG Regular" w:hAnsi="Ping LCG Regular"/>
          <w:i/>
          <w:iCs/>
          <w:sz w:val="22"/>
          <w:szCs w:val="22"/>
          <w:lang w:val="el-GR"/>
        </w:rPr>
        <w:t xml:space="preserve"> </w:t>
      </w:r>
      <w:r>
        <w:rPr>
          <w:rFonts w:ascii="Ping LCG Regular" w:hAnsi="Ping LCG Regular"/>
          <w:i/>
          <w:iCs/>
          <w:sz w:val="22"/>
          <w:szCs w:val="22"/>
          <w:lang w:val="el-GR"/>
        </w:rPr>
        <w:t>του</w:t>
      </w:r>
      <w:r w:rsidRPr="007D6C24">
        <w:rPr>
          <w:rFonts w:ascii="Ping LCG Regular" w:hAnsi="Ping LCG Regular"/>
          <w:i/>
          <w:iCs/>
          <w:sz w:val="22"/>
          <w:szCs w:val="22"/>
          <w:lang w:val="el-GR"/>
        </w:rPr>
        <w:t xml:space="preserve"> </w:t>
      </w:r>
      <w:r w:rsidR="00D570D0" w:rsidRPr="00D570D0">
        <w:rPr>
          <w:rFonts w:ascii="Ping LCG Regular" w:hAnsi="Ping LCG Regular"/>
          <w:i/>
          <w:iCs/>
          <w:sz w:val="22"/>
          <w:szCs w:val="22"/>
          <w:lang w:val="el-GR"/>
        </w:rPr>
        <w:t xml:space="preserve">στόχου </w:t>
      </w:r>
      <w:r w:rsidR="00D570D0">
        <w:rPr>
          <w:rFonts w:ascii="Ping LCG Regular" w:hAnsi="Ping LCG Regular"/>
          <w:i/>
          <w:iCs/>
          <w:sz w:val="22"/>
          <w:szCs w:val="22"/>
          <w:lang w:val="el-GR"/>
        </w:rPr>
        <w:t>μ</w:t>
      </w:r>
      <w:r w:rsidR="00D570D0" w:rsidRPr="009D3794">
        <w:rPr>
          <w:rFonts w:ascii="Ping LCG Regular" w:hAnsi="Ping LCG Regular"/>
          <w:i/>
          <w:iCs/>
          <w:sz w:val="22"/>
          <w:szCs w:val="22"/>
          <w:lang w:val="el-GR"/>
        </w:rPr>
        <w:t>είωση</w:t>
      </w:r>
      <w:r w:rsidR="00D570D0">
        <w:rPr>
          <w:rFonts w:ascii="Ping LCG Regular" w:hAnsi="Ping LCG Regular"/>
          <w:i/>
          <w:iCs/>
          <w:sz w:val="22"/>
          <w:szCs w:val="22"/>
          <w:lang w:val="el-GR"/>
        </w:rPr>
        <w:t>ς</w:t>
      </w:r>
      <w:r w:rsidR="00D570D0" w:rsidRPr="009D3794">
        <w:rPr>
          <w:rFonts w:ascii="Ping LCG Regular" w:hAnsi="Ping LCG Regular"/>
          <w:i/>
          <w:iCs/>
          <w:sz w:val="22"/>
          <w:szCs w:val="22"/>
          <w:lang w:val="el-GR"/>
        </w:rPr>
        <w:t xml:space="preserve"> των εκπομπών </w:t>
      </w:r>
      <w:r w:rsidR="00D570D0" w:rsidRPr="006F72BA">
        <w:rPr>
          <w:rFonts w:ascii="Ping LCG Regular" w:hAnsi="Ping LCG Regular"/>
          <w:i/>
          <w:iCs/>
          <w:sz w:val="22"/>
          <w:szCs w:val="22"/>
          <w:lang w:val="el-GR"/>
        </w:rPr>
        <w:t>CO</w:t>
      </w:r>
      <w:r w:rsidR="00D570D0" w:rsidRPr="00CF5C6D">
        <w:rPr>
          <w:rFonts w:ascii="Ping LCG Regular" w:hAnsi="Ping LCG Regular"/>
          <w:i/>
          <w:iCs/>
          <w:sz w:val="22"/>
          <w:szCs w:val="22"/>
          <w:vertAlign w:val="subscript"/>
          <w:lang w:val="el-GR"/>
        </w:rPr>
        <w:t>2</w:t>
      </w:r>
      <w:r w:rsidR="00D570D0" w:rsidRPr="006F72BA">
        <w:rPr>
          <w:rFonts w:ascii="Ping LCG Regular" w:hAnsi="Ping LCG Regular"/>
          <w:i/>
          <w:iCs/>
          <w:sz w:val="22"/>
          <w:szCs w:val="22"/>
          <w:lang w:val="el-GR"/>
        </w:rPr>
        <w:t xml:space="preserve"> </w:t>
      </w:r>
      <w:r w:rsidR="00D570D0" w:rsidRPr="00D570D0">
        <w:rPr>
          <w:rFonts w:ascii="Ping LCG Regular" w:hAnsi="Ping LCG Regular"/>
          <w:i/>
          <w:iCs/>
          <w:sz w:val="22"/>
          <w:szCs w:val="22"/>
          <w:lang w:val="el-GR"/>
        </w:rPr>
        <w:t xml:space="preserve">που είχε τεθεί </w:t>
      </w:r>
      <w:r w:rsidR="00C06529">
        <w:rPr>
          <w:rFonts w:ascii="Ping LCG Regular" w:hAnsi="Ping LCG Regular"/>
          <w:i/>
          <w:iCs/>
          <w:sz w:val="22"/>
          <w:szCs w:val="22"/>
          <w:lang w:val="el-GR"/>
        </w:rPr>
        <w:t>σ</w:t>
      </w:r>
      <w:r w:rsidR="00F2612B">
        <w:rPr>
          <w:rFonts w:ascii="Ping LCG Regular" w:hAnsi="Ping LCG Regular"/>
          <w:i/>
          <w:iCs/>
          <w:sz w:val="22"/>
          <w:szCs w:val="22"/>
          <w:lang w:val="el-GR"/>
        </w:rPr>
        <w:t>τις</w:t>
      </w:r>
      <w:r w:rsidR="00F2612B" w:rsidRPr="007D6C24">
        <w:rPr>
          <w:rFonts w:ascii="Ping LCG Regular" w:hAnsi="Ping LCG Regular"/>
          <w:i/>
          <w:iCs/>
          <w:sz w:val="22"/>
          <w:szCs w:val="22"/>
          <w:lang w:val="el-GR"/>
        </w:rPr>
        <w:t xml:space="preserve"> </w:t>
      </w:r>
      <w:r w:rsidR="00F2612B">
        <w:rPr>
          <w:rFonts w:ascii="Ping LCG Regular" w:hAnsi="Ping LCG Regular"/>
          <w:i/>
          <w:iCs/>
          <w:sz w:val="22"/>
          <w:szCs w:val="22"/>
          <w:lang w:val="el-GR"/>
        </w:rPr>
        <w:t>Ομολογίες</w:t>
      </w:r>
      <w:r w:rsidR="00F2612B" w:rsidRPr="007D6C24">
        <w:rPr>
          <w:rFonts w:ascii="Ping LCG Regular" w:hAnsi="Ping LCG Regular"/>
          <w:i/>
          <w:iCs/>
          <w:sz w:val="22"/>
          <w:szCs w:val="22"/>
          <w:lang w:val="el-GR"/>
        </w:rPr>
        <w:t xml:space="preserve"> </w:t>
      </w:r>
      <w:r w:rsidR="007D6C24">
        <w:rPr>
          <w:rFonts w:ascii="Ping LCG Regular" w:hAnsi="Ping LCG Regular"/>
          <w:i/>
          <w:iCs/>
          <w:sz w:val="22"/>
          <w:szCs w:val="22"/>
          <w:lang w:val="el-GR"/>
        </w:rPr>
        <w:t>με</w:t>
      </w:r>
      <w:r w:rsidR="007D6C24" w:rsidRPr="007D6C24">
        <w:rPr>
          <w:rFonts w:ascii="Ping LCG Regular" w:hAnsi="Ping LCG Regular"/>
          <w:i/>
          <w:iCs/>
          <w:sz w:val="22"/>
          <w:szCs w:val="22"/>
          <w:lang w:val="el-GR"/>
        </w:rPr>
        <w:t xml:space="preserve"> </w:t>
      </w:r>
      <w:r w:rsidR="007D6C24">
        <w:rPr>
          <w:rFonts w:ascii="Ping LCG Regular" w:hAnsi="Ping LCG Regular"/>
          <w:i/>
          <w:iCs/>
          <w:sz w:val="22"/>
          <w:szCs w:val="22"/>
          <w:lang w:val="el-GR"/>
        </w:rPr>
        <w:t>ρήτρα</w:t>
      </w:r>
      <w:r w:rsidR="007D6C24" w:rsidRPr="007D6C24">
        <w:rPr>
          <w:rFonts w:ascii="Ping LCG Regular" w:hAnsi="Ping LCG Regular"/>
          <w:i/>
          <w:iCs/>
          <w:sz w:val="22"/>
          <w:szCs w:val="22"/>
          <w:lang w:val="el-GR"/>
        </w:rPr>
        <w:t xml:space="preserve"> </w:t>
      </w:r>
      <w:r w:rsidR="007D6C24">
        <w:rPr>
          <w:rFonts w:ascii="Ping LCG Regular" w:hAnsi="Ping LCG Regular"/>
          <w:i/>
          <w:iCs/>
          <w:sz w:val="22"/>
          <w:szCs w:val="22"/>
          <w:lang w:val="el-GR"/>
        </w:rPr>
        <w:t>αειφορίας</w:t>
      </w:r>
      <w:r w:rsidR="00D65808">
        <w:rPr>
          <w:rFonts w:ascii="Ping LCG Regular" w:hAnsi="Ping LCG Regular"/>
          <w:i/>
          <w:iCs/>
          <w:sz w:val="22"/>
          <w:szCs w:val="22"/>
          <w:lang w:val="el-GR"/>
        </w:rPr>
        <w:t>,</w:t>
      </w:r>
      <w:r w:rsidR="007D6C24" w:rsidRPr="007D6C24">
        <w:rPr>
          <w:rFonts w:ascii="Ping LCG Regular" w:hAnsi="Ping LCG Regular"/>
          <w:i/>
          <w:iCs/>
          <w:sz w:val="22"/>
          <w:szCs w:val="22"/>
          <w:lang w:val="el-GR"/>
        </w:rPr>
        <w:t xml:space="preserve"> </w:t>
      </w:r>
      <w:r w:rsidR="00C06529">
        <w:rPr>
          <w:rFonts w:ascii="Ping LCG Regular" w:hAnsi="Ping LCG Regular"/>
          <w:i/>
          <w:iCs/>
          <w:sz w:val="22"/>
          <w:szCs w:val="22"/>
          <w:lang w:val="el-GR"/>
        </w:rPr>
        <w:t>λήξης</w:t>
      </w:r>
      <w:r w:rsidR="007D6C24">
        <w:rPr>
          <w:rFonts w:ascii="Ping LCG Regular" w:hAnsi="Ping LCG Regular"/>
          <w:i/>
          <w:iCs/>
          <w:sz w:val="22"/>
          <w:szCs w:val="22"/>
          <w:lang w:val="el-GR"/>
        </w:rPr>
        <w:t xml:space="preserve"> το 2028</w:t>
      </w:r>
      <w:r w:rsidR="00860777">
        <w:rPr>
          <w:rFonts w:ascii="Ping LCG Regular" w:hAnsi="Ping LCG Regular"/>
          <w:i/>
          <w:iCs/>
          <w:sz w:val="22"/>
          <w:szCs w:val="22"/>
          <w:lang w:val="el-GR"/>
        </w:rPr>
        <w:t>,</w:t>
      </w:r>
      <w:r w:rsidRPr="007D6C24">
        <w:rPr>
          <w:rFonts w:ascii="Ping LCG Regular" w:hAnsi="Ping LCG Regular"/>
          <w:i/>
          <w:iCs/>
          <w:sz w:val="22"/>
          <w:szCs w:val="22"/>
          <w:lang w:val="el-GR"/>
        </w:rPr>
        <w:t xml:space="preserve"> </w:t>
      </w:r>
      <w:r w:rsidR="001F2716">
        <w:rPr>
          <w:rFonts w:ascii="Ping LCG Regular" w:hAnsi="Ping LCG Regular"/>
          <w:i/>
          <w:iCs/>
          <w:sz w:val="22"/>
          <w:szCs w:val="22"/>
          <w:lang w:val="el-GR"/>
        </w:rPr>
        <w:t xml:space="preserve">αναδεικνύοντας τη </w:t>
      </w:r>
      <w:r w:rsidR="00343F95">
        <w:rPr>
          <w:rFonts w:ascii="Ping LCG Regular" w:hAnsi="Ping LCG Regular"/>
          <w:i/>
          <w:iCs/>
          <w:sz w:val="22"/>
          <w:szCs w:val="22"/>
          <w:lang w:val="el-GR"/>
        </w:rPr>
        <w:t xml:space="preserve">δέσμευση της ΔΕΗ </w:t>
      </w:r>
      <w:r w:rsidR="00F90CBB">
        <w:rPr>
          <w:rFonts w:ascii="Ping LCG Regular" w:hAnsi="Ping LCG Regular"/>
          <w:i/>
          <w:iCs/>
          <w:sz w:val="22"/>
          <w:szCs w:val="22"/>
          <w:lang w:val="el-GR"/>
        </w:rPr>
        <w:t xml:space="preserve">για ένα πιο </w:t>
      </w:r>
      <w:r w:rsidR="00D65808" w:rsidRPr="00B50C9B">
        <w:rPr>
          <w:rFonts w:ascii="Ping LCG Regular" w:hAnsi="Ping LCG Regular"/>
          <w:i/>
          <w:iCs/>
          <w:sz w:val="22"/>
          <w:szCs w:val="22"/>
          <w:lang w:val="el-GR"/>
        </w:rPr>
        <w:t>“</w:t>
      </w:r>
      <w:r w:rsidR="00F90CBB">
        <w:rPr>
          <w:rFonts w:ascii="Ping LCG Regular" w:hAnsi="Ping LCG Regular"/>
          <w:i/>
          <w:iCs/>
          <w:sz w:val="22"/>
          <w:szCs w:val="22"/>
          <w:lang w:val="el-GR"/>
        </w:rPr>
        <w:t>πράσινο</w:t>
      </w:r>
      <w:r w:rsidR="00D65808" w:rsidRPr="00B50C9B">
        <w:rPr>
          <w:rFonts w:ascii="Ping LCG Regular" w:hAnsi="Ping LCG Regular"/>
          <w:i/>
          <w:iCs/>
          <w:sz w:val="22"/>
          <w:szCs w:val="22"/>
          <w:lang w:val="el-GR"/>
        </w:rPr>
        <w:t>”</w:t>
      </w:r>
      <w:r w:rsidR="00343F95">
        <w:rPr>
          <w:rFonts w:ascii="Ping LCG Regular" w:hAnsi="Ping LCG Regular"/>
          <w:i/>
          <w:iCs/>
          <w:sz w:val="22"/>
          <w:szCs w:val="22"/>
          <w:lang w:val="el-GR"/>
        </w:rPr>
        <w:t xml:space="preserve"> ενεργειακό </w:t>
      </w:r>
      <w:r w:rsidR="00F90CBB">
        <w:rPr>
          <w:rFonts w:ascii="Ping LCG Regular" w:hAnsi="Ping LCG Regular"/>
          <w:i/>
          <w:iCs/>
          <w:sz w:val="22"/>
          <w:szCs w:val="22"/>
          <w:lang w:val="el-GR"/>
        </w:rPr>
        <w:t>μείγμα</w:t>
      </w:r>
    </w:p>
    <w:p w14:paraId="0659D3FB" w14:textId="548973FA" w:rsidR="00987484" w:rsidRDefault="00282D49" w:rsidP="003432BC">
      <w:pPr>
        <w:pStyle w:val="a8"/>
        <w:numPr>
          <w:ilvl w:val="0"/>
          <w:numId w:val="4"/>
        </w:numPr>
        <w:spacing w:line="320" w:lineRule="atLeast"/>
        <w:ind w:left="357" w:hanging="215"/>
        <w:jc w:val="both"/>
        <w:rPr>
          <w:rFonts w:ascii="Ping LCG Regular" w:hAnsi="Ping LCG Regular"/>
          <w:i/>
          <w:iCs/>
          <w:sz w:val="22"/>
          <w:szCs w:val="22"/>
          <w:lang w:val="el-GR"/>
        </w:rPr>
      </w:pPr>
      <w:r w:rsidRPr="00F50A7E">
        <w:rPr>
          <w:rFonts w:ascii="Ping LCG Regular" w:hAnsi="Ping LCG Regular"/>
          <w:i/>
          <w:iCs/>
          <w:sz w:val="22"/>
          <w:szCs w:val="22"/>
          <w:lang w:val="el-GR"/>
        </w:rPr>
        <w:t>Ισχυρή</w:t>
      </w:r>
      <w:r w:rsidR="00145FF1" w:rsidRPr="00F50A7E">
        <w:rPr>
          <w:rFonts w:ascii="Ping LCG Regular" w:hAnsi="Ping LCG Regular"/>
          <w:i/>
          <w:iCs/>
          <w:sz w:val="22"/>
          <w:szCs w:val="22"/>
          <w:lang w:val="el-GR"/>
        </w:rPr>
        <w:t xml:space="preserve"> χρηματοοικονομική θέση </w:t>
      </w:r>
      <w:r w:rsidR="00144C7A" w:rsidRPr="00F50A7E">
        <w:rPr>
          <w:rFonts w:ascii="Ping LCG Regular" w:hAnsi="Ping LCG Regular"/>
          <w:i/>
          <w:iCs/>
          <w:sz w:val="22"/>
          <w:szCs w:val="22"/>
          <w:lang w:val="el-GR"/>
        </w:rPr>
        <w:t xml:space="preserve">παρά </w:t>
      </w:r>
      <w:r w:rsidR="00757CF4">
        <w:rPr>
          <w:rFonts w:ascii="Ping LCG Regular" w:hAnsi="Ping LCG Regular"/>
          <w:i/>
          <w:iCs/>
          <w:sz w:val="22"/>
          <w:szCs w:val="22"/>
          <w:lang w:val="el-GR"/>
        </w:rPr>
        <w:t xml:space="preserve">τις σημαντικές </w:t>
      </w:r>
      <w:r w:rsidR="00144C7A" w:rsidRPr="00F50A7E">
        <w:rPr>
          <w:rFonts w:ascii="Ping LCG Regular" w:hAnsi="Ping LCG Regular"/>
          <w:i/>
          <w:iCs/>
          <w:sz w:val="22"/>
          <w:szCs w:val="22"/>
          <w:lang w:val="el-GR"/>
        </w:rPr>
        <w:t>επενδύσε</w:t>
      </w:r>
      <w:r w:rsidR="00757CF4">
        <w:rPr>
          <w:rFonts w:ascii="Ping LCG Regular" w:hAnsi="Ping LCG Regular"/>
          <w:i/>
          <w:iCs/>
          <w:sz w:val="22"/>
          <w:szCs w:val="22"/>
          <w:lang w:val="el-GR"/>
        </w:rPr>
        <w:t>ις</w:t>
      </w:r>
      <w:r w:rsidR="00144C7A" w:rsidRPr="00F50A7E">
        <w:rPr>
          <w:rFonts w:ascii="Ping LCG Regular" w:hAnsi="Ping LCG Regular"/>
          <w:i/>
          <w:iCs/>
          <w:sz w:val="22"/>
          <w:szCs w:val="22"/>
          <w:lang w:val="el-GR"/>
        </w:rPr>
        <w:t xml:space="preserve"> </w:t>
      </w:r>
      <w:r w:rsidR="00145FF1" w:rsidRPr="00F50A7E">
        <w:rPr>
          <w:rFonts w:ascii="Ping LCG Regular" w:hAnsi="Ping LCG Regular"/>
          <w:i/>
          <w:iCs/>
          <w:sz w:val="22"/>
          <w:szCs w:val="22"/>
          <w:lang w:val="el-GR"/>
        </w:rPr>
        <w:t>με τον δείκτη Καθαρό Χρέος/</w:t>
      </w:r>
      <w:r w:rsidR="00145FF1" w:rsidRPr="00F50A7E">
        <w:rPr>
          <w:rFonts w:ascii="Ping LCG Regular" w:hAnsi="Ping LCG Regular"/>
          <w:i/>
          <w:iCs/>
          <w:sz w:val="22"/>
          <w:szCs w:val="22"/>
        </w:rPr>
        <w:t>EBITDA</w:t>
      </w:r>
      <w:r w:rsidR="00145FF1" w:rsidRPr="00F50A7E">
        <w:rPr>
          <w:rFonts w:ascii="Ping LCG Regular" w:hAnsi="Ping LCG Regular"/>
          <w:i/>
          <w:iCs/>
          <w:sz w:val="22"/>
          <w:szCs w:val="22"/>
          <w:lang w:val="el-GR"/>
        </w:rPr>
        <w:t xml:space="preserve"> στο </w:t>
      </w:r>
      <w:r w:rsidR="00C15CC9">
        <w:rPr>
          <w:rFonts w:ascii="Ping LCG Regular" w:hAnsi="Ping LCG Regular"/>
          <w:i/>
          <w:iCs/>
          <w:sz w:val="22"/>
          <w:szCs w:val="22"/>
          <w:lang w:val="el-GR"/>
        </w:rPr>
        <w:t>2,</w:t>
      </w:r>
      <w:r w:rsidR="00C15CC9" w:rsidRPr="00C66F88">
        <w:rPr>
          <w:rFonts w:ascii="Ping LCG Regular" w:hAnsi="Ping LCG Regular"/>
          <w:i/>
          <w:iCs/>
          <w:sz w:val="22"/>
          <w:szCs w:val="22"/>
          <w:lang w:val="el-GR"/>
        </w:rPr>
        <w:t>3</w:t>
      </w:r>
      <w:r w:rsidR="00F50A7E" w:rsidRPr="003432BC">
        <w:rPr>
          <w:rFonts w:ascii="Ping LCG Regular" w:hAnsi="Ping LCG Regular"/>
          <w:i/>
          <w:iCs/>
          <w:sz w:val="22"/>
          <w:szCs w:val="22"/>
        </w:rPr>
        <w:t>x</w:t>
      </w:r>
      <w:r w:rsidR="00F50A7E" w:rsidRPr="00987484">
        <w:rPr>
          <w:rFonts w:ascii="Ping LCG Regular" w:hAnsi="Ping LCG Regular"/>
          <w:i/>
          <w:iCs/>
          <w:sz w:val="22"/>
          <w:szCs w:val="22"/>
          <w:lang w:val="el-GR"/>
        </w:rPr>
        <w:t xml:space="preserve"> </w:t>
      </w:r>
    </w:p>
    <w:p w14:paraId="76F4C061" w14:textId="0E33DFFC" w:rsidR="00145FF1" w:rsidRPr="00F50A7E" w:rsidRDefault="002578D4" w:rsidP="003432BC">
      <w:pPr>
        <w:pStyle w:val="a8"/>
        <w:numPr>
          <w:ilvl w:val="0"/>
          <w:numId w:val="4"/>
        </w:numPr>
        <w:spacing w:line="320" w:lineRule="atLeast"/>
        <w:ind w:left="357" w:hanging="215"/>
        <w:jc w:val="both"/>
        <w:rPr>
          <w:rFonts w:ascii="Ping LCG Regular" w:hAnsi="Ping LCG Regular"/>
          <w:i/>
          <w:iCs/>
          <w:sz w:val="22"/>
          <w:szCs w:val="22"/>
          <w:lang w:val="el-GR"/>
        </w:rPr>
      </w:pPr>
      <w:r>
        <w:rPr>
          <w:rFonts w:ascii="Ping LCG Regular" w:hAnsi="Ping LCG Regular"/>
          <w:i/>
          <w:iCs/>
          <w:sz w:val="22"/>
          <w:szCs w:val="22"/>
          <w:lang w:val="el-GR"/>
        </w:rPr>
        <w:t>Σ</w:t>
      </w:r>
      <w:r w:rsidR="00367F1D" w:rsidRPr="006F72BA">
        <w:rPr>
          <w:rFonts w:ascii="Ping LCG Regular" w:hAnsi="Ping LCG Regular"/>
          <w:i/>
          <w:iCs/>
          <w:sz w:val="22"/>
          <w:szCs w:val="22"/>
          <w:lang w:val="el-GR"/>
        </w:rPr>
        <w:t>ε πορεία επίτευξης</w:t>
      </w:r>
      <w:r w:rsidR="008C1010">
        <w:rPr>
          <w:rFonts w:ascii="Ping LCG Regular" w:hAnsi="Ping LCG Regular"/>
          <w:i/>
          <w:iCs/>
          <w:sz w:val="22"/>
          <w:szCs w:val="22"/>
          <w:lang w:val="el-GR"/>
        </w:rPr>
        <w:t xml:space="preserve"> του στόχου </w:t>
      </w:r>
      <w:r w:rsidR="00145FF1" w:rsidRPr="003F6755">
        <w:rPr>
          <w:rFonts w:ascii="Ping LCG Regular" w:hAnsi="Ping LCG Regular"/>
          <w:i/>
          <w:iCs/>
          <w:sz w:val="22"/>
          <w:szCs w:val="22"/>
          <w:lang w:val="el-GR"/>
        </w:rPr>
        <w:t xml:space="preserve">για </w:t>
      </w:r>
      <w:r w:rsidR="001D68A4" w:rsidRPr="00B50C9B">
        <w:rPr>
          <w:rFonts w:ascii="Ping LCG Regular" w:hAnsi="Ping LCG Regular"/>
          <w:i/>
          <w:iCs/>
          <w:sz w:val="22"/>
          <w:szCs w:val="22"/>
          <w:lang w:val="el-GR"/>
        </w:rPr>
        <w:t>προσαρμοσμένο</w:t>
      </w:r>
      <w:r w:rsidR="00145FF1" w:rsidRPr="003F6755">
        <w:rPr>
          <w:rFonts w:ascii="Ping LCG Regular" w:hAnsi="Ping LCG Regular"/>
          <w:i/>
          <w:iCs/>
          <w:sz w:val="22"/>
          <w:szCs w:val="22"/>
          <w:lang w:val="el-GR"/>
        </w:rPr>
        <w:t xml:space="preserve"> EBITDA</w:t>
      </w:r>
      <w:r w:rsidR="00145FF1" w:rsidRPr="00F50A7E">
        <w:rPr>
          <w:rFonts w:ascii="Ping LCG Regular" w:hAnsi="Ping LCG Regular"/>
          <w:i/>
          <w:iCs/>
          <w:sz w:val="22"/>
          <w:szCs w:val="22"/>
          <w:lang w:val="el-GR"/>
        </w:rPr>
        <w:t xml:space="preserve"> €1,</w:t>
      </w:r>
      <w:r w:rsidR="00A63CE7" w:rsidRPr="00F50A7E">
        <w:rPr>
          <w:rFonts w:ascii="Ping LCG Regular" w:hAnsi="Ping LCG Regular"/>
          <w:i/>
          <w:iCs/>
          <w:sz w:val="22"/>
          <w:szCs w:val="22"/>
          <w:lang w:val="el-GR"/>
        </w:rPr>
        <w:t>8</w:t>
      </w:r>
      <w:r w:rsidR="00145FF1" w:rsidRPr="00F50A7E">
        <w:rPr>
          <w:rFonts w:ascii="Ping LCG Regular" w:hAnsi="Ping LCG Regular"/>
          <w:i/>
          <w:iCs/>
          <w:sz w:val="22"/>
          <w:szCs w:val="22"/>
          <w:lang w:val="el-GR"/>
        </w:rPr>
        <w:t xml:space="preserve">δισ. </w:t>
      </w:r>
      <w:r w:rsidR="004B305A">
        <w:rPr>
          <w:rFonts w:ascii="Ping LCG Regular" w:hAnsi="Ping LCG Regular"/>
          <w:i/>
          <w:iCs/>
          <w:sz w:val="22"/>
          <w:szCs w:val="22"/>
          <w:lang w:val="el-GR"/>
        </w:rPr>
        <w:t xml:space="preserve">το 2024 </w:t>
      </w:r>
      <w:r w:rsidR="00145FF1" w:rsidRPr="00F50A7E">
        <w:rPr>
          <w:rFonts w:ascii="Ping LCG Regular" w:hAnsi="Ping LCG Regular"/>
          <w:i/>
          <w:iCs/>
          <w:sz w:val="22"/>
          <w:szCs w:val="22"/>
          <w:lang w:val="el-GR"/>
        </w:rPr>
        <w:t xml:space="preserve"> </w:t>
      </w:r>
    </w:p>
    <w:p w14:paraId="176AA663" w14:textId="77777777" w:rsidR="00CC3137" w:rsidRPr="000D73E1" w:rsidRDefault="00CC3137" w:rsidP="00145FF1">
      <w:pPr>
        <w:jc w:val="both"/>
        <w:rPr>
          <w:rFonts w:ascii="Ping LCG Regular" w:hAnsi="Ping LCG Regular"/>
          <w:i/>
          <w:iCs/>
          <w:sz w:val="22"/>
          <w:szCs w:val="22"/>
          <w:highlight w:val="yellow"/>
          <w:lang w:val="el-GR"/>
        </w:rPr>
      </w:pPr>
    </w:p>
    <w:p w14:paraId="6F04F23D" w14:textId="465EA214" w:rsidR="00747C7D" w:rsidRDefault="00C156B9">
      <w:pPr>
        <w:rPr>
          <w:rFonts w:ascii="Ping LCG Regular" w:hAnsi="Ping LCG Regular"/>
          <w:b/>
          <w:bCs/>
          <w:sz w:val="22"/>
          <w:szCs w:val="22"/>
        </w:rPr>
      </w:pPr>
      <w:r w:rsidRPr="003B5B18">
        <w:rPr>
          <w:rFonts w:ascii="Ping LCG Regular" w:hAnsi="Ping LCG Regular"/>
          <w:b/>
          <w:bCs/>
          <w:sz w:val="22"/>
          <w:szCs w:val="22"/>
          <w:lang w:val="el-GR"/>
        </w:rPr>
        <w:t>Βασικά Οικονομικά Μεγέθη</w:t>
      </w:r>
      <w:r w:rsidR="00F55B7C" w:rsidRPr="003B5B18">
        <w:rPr>
          <w:rStyle w:val="ae"/>
          <w:rFonts w:ascii="Ping LCG Regular" w:hAnsi="Ping LCG Regular"/>
          <w:b/>
          <w:bCs/>
          <w:color w:val="FFFFFF" w:themeColor="background1"/>
          <w:sz w:val="22"/>
          <w:szCs w:val="22"/>
          <w:lang w:val="el-GR"/>
        </w:rPr>
        <w:footnoteReference w:id="2"/>
      </w:r>
    </w:p>
    <w:p w14:paraId="631BE4E8" w14:textId="77777777" w:rsidR="003B5B18" w:rsidRPr="00B50C9B" w:rsidRDefault="003B5B18">
      <w:pPr>
        <w:rPr>
          <w:rFonts w:ascii="Ping LCG Regular" w:hAnsi="Ping LCG Regular"/>
          <w:b/>
          <w:bCs/>
          <w:sz w:val="22"/>
          <w:szCs w:val="22"/>
        </w:rPr>
      </w:pPr>
    </w:p>
    <w:p w14:paraId="145F4A9A" w14:textId="1D283F6B" w:rsidR="008B3FBC" w:rsidRPr="008B3FBC" w:rsidRDefault="003B5B18">
      <w:pPr>
        <w:rPr>
          <w:rFonts w:ascii="Ping LCG Regular" w:hAnsi="Ping LCG Regular"/>
          <w:b/>
          <w:bCs/>
          <w:sz w:val="22"/>
          <w:szCs w:val="22"/>
          <w:lang w:val="el-GR"/>
        </w:rPr>
      </w:pPr>
      <w:r>
        <w:rPr>
          <w:rFonts w:ascii="Ping LCG Regular" w:hAnsi="Ping LCG Regular"/>
          <w:b/>
          <w:bCs/>
          <w:noProof/>
          <w:sz w:val="22"/>
          <w:szCs w:val="22"/>
          <w:lang w:val="el-GR"/>
        </w:rPr>
        <w:drawing>
          <wp:inline distT="0" distB="0" distL="0" distR="0" wp14:anchorId="24CB7C78" wp14:editId="102FF923">
            <wp:extent cx="5467136" cy="2718211"/>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0301" cy="2724757"/>
                    </a:xfrm>
                    <a:prstGeom prst="rect">
                      <a:avLst/>
                    </a:prstGeom>
                    <a:noFill/>
                  </pic:spPr>
                </pic:pic>
              </a:graphicData>
            </a:graphic>
          </wp:inline>
        </w:drawing>
      </w:r>
    </w:p>
    <w:p w14:paraId="63A39974" w14:textId="77777777" w:rsidR="00A702F3" w:rsidRDefault="00A702F3">
      <w:pPr>
        <w:rPr>
          <w:rFonts w:ascii="Ping LCG Regular" w:hAnsi="Ping LCG Regular"/>
          <w:b/>
          <w:bCs/>
          <w:sz w:val="22"/>
          <w:szCs w:val="22"/>
          <w:lang w:val="el-GR"/>
        </w:rPr>
      </w:pPr>
    </w:p>
    <w:p w14:paraId="7A3194D5" w14:textId="7ED55559" w:rsidR="00145FF1" w:rsidRPr="007334B1" w:rsidRDefault="00145FF1" w:rsidP="00145FF1">
      <w:pPr>
        <w:pStyle w:val="DehPressRelease"/>
        <w:jc w:val="both"/>
        <w:rPr>
          <w:b/>
          <w:bCs/>
          <w:szCs w:val="22"/>
        </w:rPr>
      </w:pPr>
      <w:r w:rsidRPr="007334B1">
        <w:rPr>
          <w:b/>
          <w:bCs/>
          <w:szCs w:val="22"/>
        </w:rPr>
        <w:t xml:space="preserve">Βασικά γεγονότα του </w:t>
      </w:r>
      <w:r w:rsidR="007334B1">
        <w:rPr>
          <w:b/>
          <w:bCs/>
          <w:szCs w:val="22"/>
        </w:rPr>
        <w:t xml:space="preserve">α΄ </w:t>
      </w:r>
      <w:r w:rsidR="004F474F">
        <w:rPr>
          <w:b/>
          <w:bCs/>
          <w:szCs w:val="22"/>
        </w:rPr>
        <w:t>εξαμήνου</w:t>
      </w:r>
      <w:r w:rsidR="007334B1">
        <w:rPr>
          <w:b/>
          <w:bCs/>
          <w:szCs w:val="22"/>
        </w:rPr>
        <w:t xml:space="preserve"> </w:t>
      </w:r>
      <w:r w:rsidRPr="007334B1">
        <w:rPr>
          <w:b/>
          <w:bCs/>
          <w:szCs w:val="22"/>
        </w:rPr>
        <w:t>202</w:t>
      </w:r>
      <w:r w:rsidR="007334B1">
        <w:rPr>
          <w:b/>
          <w:bCs/>
          <w:szCs w:val="22"/>
        </w:rPr>
        <w:t>4</w:t>
      </w:r>
      <w:r w:rsidRPr="007334B1">
        <w:rPr>
          <w:b/>
          <w:bCs/>
          <w:szCs w:val="22"/>
        </w:rPr>
        <w:t xml:space="preserve"> </w:t>
      </w:r>
    </w:p>
    <w:p w14:paraId="0AFF3B9D" w14:textId="0A6F5B15" w:rsidR="00F05EBC" w:rsidRPr="00805744" w:rsidRDefault="00A71219" w:rsidP="00F05EBC">
      <w:pPr>
        <w:pStyle w:val="DehPressRelease"/>
        <w:jc w:val="both"/>
        <w:rPr>
          <w:szCs w:val="22"/>
        </w:rPr>
      </w:pPr>
      <w:r w:rsidRPr="00F05EBC">
        <w:rPr>
          <w:szCs w:val="22"/>
        </w:rPr>
        <w:t xml:space="preserve">Η ΔΕΗ </w:t>
      </w:r>
      <w:r w:rsidRPr="00271ACB">
        <w:rPr>
          <w:szCs w:val="22"/>
        </w:rPr>
        <w:t xml:space="preserve">είχε </w:t>
      </w:r>
      <w:r w:rsidR="00DE7E08" w:rsidRPr="006F72BA">
        <w:rPr>
          <w:szCs w:val="22"/>
        </w:rPr>
        <w:t>ισχυρές</w:t>
      </w:r>
      <w:r w:rsidRPr="00271ACB">
        <w:rPr>
          <w:szCs w:val="22"/>
        </w:rPr>
        <w:t xml:space="preserve"> επιδόσεις</w:t>
      </w:r>
      <w:r w:rsidRPr="00F05EBC">
        <w:rPr>
          <w:szCs w:val="22"/>
        </w:rPr>
        <w:t xml:space="preserve"> το </w:t>
      </w:r>
      <w:r w:rsidR="00D03E43">
        <w:rPr>
          <w:szCs w:val="22"/>
        </w:rPr>
        <w:t>α’</w:t>
      </w:r>
      <w:r w:rsidRPr="00F05EBC">
        <w:rPr>
          <w:szCs w:val="22"/>
        </w:rPr>
        <w:t xml:space="preserve"> εξάμηνο του 2024 με το </w:t>
      </w:r>
      <w:r w:rsidR="00D03E43">
        <w:rPr>
          <w:szCs w:val="22"/>
        </w:rPr>
        <w:t>β’</w:t>
      </w:r>
      <w:r w:rsidRPr="00F05EBC">
        <w:rPr>
          <w:szCs w:val="22"/>
        </w:rPr>
        <w:t xml:space="preserve"> τρίμηνο του 2024 να </w:t>
      </w:r>
      <w:r w:rsidR="00121D13">
        <w:rPr>
          <w:szCs w:val="22"/>
        </w:rPr>
        <w:t>ακολουθεί τις επιδόσεις του α΄τριμήνου</w:t>
      </w:r>
      <w:r w:rsidR="00F05EBC" w:rsidRPr="00A71219">
        <w:rPr>
          <w:szCs w:val="22"/>
        </w:rPr>
        <w:t xml:space="preserve">. </w:t>
      </w:r>
    </w:p>
    <w:p w14:paraId="7C9EAADB" w14:textId="2D6374E5" w:rsidR="00F05EBC" w:rsidRPr="009D58F8" w:rsidRDefault="009D58F8" w:rsidP="00F05EBC">
      <w:pPr>
        <w:pStyle w:val="DehPressRelease"/>
        <w:jc w:val="both"/>
        <w:rPr>
          <w:szCs w:val="22"/>
        </w:rPr>
      </w:pPr>
      <w:r w:rsidRPr="00F05EBC">
        <w:rPr>
          <w:szCs w:val="22"/>
        </w:rPr>
        <w:t>Οι επενδύσεις σε</w:t>
      </w:r>
      <w:r w:rsidR="00A75147" w:rsidRPr="006F72BA">
        <w:rPr>
          <w:szCs w:val="22"/>
        </w:rPr>
        <w:t xml:space="preserve"> “</w:t>
      </w:r>
      <w:r w:rsidR="00A75147">
        <w:rPr>
          <w:szCs w:val="22"/>
        </w:rPr>
        <w:t>πράσινα</w:t>
      </w:r>
      <w:r w:rsidR="00A75147" w:rsidRPr="006F72BA">
        <w:rPr>
          <w:szCs w:val="22"/>
        </w:rPr>
        <w:t xml:space="preserve">” </w:t>
      </w:r>
      <w:r w:rsidRPr="006F72BA">
        <w:rPr>
          <w:szCs w:val="22"/>
        </w:rPr>
        <w:t xml:space="preserve">έργα, </w:t>
      </w:r>
      <w:r w:rsidR="00320D0A" w:rsidRPr="006F72BA">
        <w:rPr>
          <w:szCs w:val="22"/>
        </w:rPr>
        <w:t xml:space="preserve">καθώς και σε έργα </w:t>
      </w:r>
      <w:r w:rsidRPr="006F72BA">
        <w:rPr>
          <w:szCs w:val="22"/>
        </w:rPr>
        <w:t xml:space="preserve">διανομής </w:t>
      </w:r>
      <w:r w:rsidR="00CE6F38" w:rsidRPr="006F72BA">
        <w:rPr>
          <w:szCs w:val="22"/>
        </w:rPr>
        <w:t>και</w:t>
      </w:r>
      <w:r w:rsidRPr="006F72BA">
        <w:rPr>
          <w:szCs w:val="22"/>
        </w:rPr>
        <w:t xml:space="preserve"> ψηφιοποίησης</w:t>
      </w:r>
      <w:r w:rsidR="00A9577B" w:rsidRPr="001173D5">
        <w:rPr>
          <w:szCs w:val="22"/>
        </w:rPr>
        <w:t xml:space="preserve"> </w:t>
      </w:r>
      <w:r w:rsidRPr="001173D5">
        <w:rPr>
          <w:szCs w:val="22"/>
        </w:rPr>
        <w:t xml:space="preserve">συνέχισαν </w:t>
      </w:r>
      <w:r w:rsidR="00320D0A" w:rsidRPr="001173D5">
        <w:rPr>
          <w:szCs w:val="22"/>
        </w:rPr>
        <w:t>την αυξητική τους πορεία</w:t>
      </w:r>
      <w:r w:rsidR="001173D5" w:rsidRPr="001173D5">
        <w:rPr>
          <w:szCs w:val="22"/>
        </w:rPr>
        <w:t xml:space="preserve"> </w:t>
      </w:r>
      <w:r w:rsidRPr="001173D5">
        <w:rPr>
          <w:szCs w:val="22"/>
        </w:rPr>
        <w:t>σύμφωνα με τη στρατηγική της ΔΕΗ να</w:t>
      </w:r>
      <w:r w:rsidRPr="00F05EBC">
        <w:rPr>
          <w:szCs w:val="22"/>
        </w:rPr>
        <w:t xml:space="preserve"> καταστεί</w:t>
      </w:r>
      <w:r w:rsidR="00442FDB">
        <w:rPr>
          <w:szCs w:val="22"/>
        </w:rPr>
        <w:t xml:space="preserve"> μια</w:t>
      </w:r>
      <w:r w:rsidRPr="00F05EBC">
        <w:rPr>
          <w:szCs w:val="22"/>
        </w:rPr>
        <w:t xml:space="preserve"> βιώσιμη </w:t>
      </w:r>
      <w:r w:rsidR="00442FDB">
        <w:rPr>
          <w:szCs w:val="22"/>
        </w:rPr>
        <w:t xml:space="preserve">εταιρεία </w:t>
      </w:r>
      <w:r w:rsidR="001173D5">
        <w:rPr>
          <w:szCs w:val="22"/>
        </w:rPr>
        <w:t>ενέργειας</w:t>
      </w:r>
      <w:r w:rsidRPr="00F05EBC">
        <w:rPr>
          <w:szCs w:val="22"/>
        </w:rPr>
        <w:t>.</w:t>
      </w:r>
    </w:p>
    <w:p w14:paraId="6E0D95EE" w14:textId="2E886CA9" w:rsidR="00F05EBC" w:rsidRPr="00132638" w:rsidRDefault="00851311" w:rsidP="00F05EBC">
      <w:pPr>
        <w:pStyle w:val="DehPressRelease"/>
        <w:jc w:val="both"/>
        <w:rPr>
          <w:szCs w:val="22"/>
        </w:rPr>
      </w:pPr>
      <w:r w:rsidRPr="00F05EBC">
        <w:rPr>
          <w:szCs w:val="22"/>
        </w:rPr>
        <w:t>Οι συνολικές επενδύσεις ανήλθαν σε €</w:t>
      </w:r>
      <w:r w:rsidR="00947DDF" w:rsidRPr="00B50C9B">
        <w:rPr>
          <w:szCs w:val="22"/>
        </w:rPr>
        <w:t>1</w:t>
      </w:r>
      <w:r w:rsidR="00CB0028">
        <w:rPr>
          <w:szCs w:val="22"/>
        </w:rPr>
        <w:t>,</w:t>
      </w:r>
      <w:r w:rsidR="006B568D" w:rsidRPr="00B50C9B">
        <w:rPr>
          <w:szCs w:val="22"/>
        </w:rPr>
        <w:t>1</w:t>
      </w:r>
      <w:r w:rsidR="00CB0028">
        <w:rPr>
          <w:szCs w:val="22"/>
        </w:rPr>
        <w:t xml:space="preserve"> δισ.</w:t>
      </w:r>
      <w:r w:rsidRPr="00F05EBC">
        <w:rPr>
          <w:szCs w:val="22"/>
        </w:rPr>
        <w:t xml:space="preserve"> συμπεριλαμβανομένης της Ρουμανίας, με σημαντική αύξηση</w:t>
      </w:r>
      <w:r w:rsidR="00B25470">
        <w:rPr>
          <w:szCs w:val="22"/>
        </w:rPr>
        <w:t xml:space="preserve"> των επενδύσεων</w:t>
      </w:r>
      <w:r w:rsidRPr="00F05EBC">
        <w:rPr>
          <w:szCs w:val="22"/>
        </w:rPr>
        <w:t xml:space="preserve"> </w:t>
      </w:r>
      <w:r w:rsidR="00D735A4">
        <w:rPr>
          <w:szCs w:val="22"/>
        </w:rPr>
        <w:t xml:space="preserve">στις </w:t>
      </w:r>
      <w:r w:rsidRPr="00F05EBC">
        <w:rPr>
          <w:szCs w:val="22"/>
        </w:rPr>
        <w:t>δραστηρι</w:t>
      </w:r>
      <w:r w:rsidR="00D735A4">
        <w:rPr>
          <w:szCs w:val="22"/>
        </w:rPr>
        <w:t>ότητες</w:t>
      </w:r>
      <w:r w:rsidRPr="00F05EBC">
        <w:rPr>
          <w:szCs w:val="22"/>
        </w:rPr>
        <w:t xml:space="preserve"> Διανομής και ΑΠΕ σύμφωνα με το σχέδιο της ΔΕΗ για αύξηση της συμμετοχής </w:t>
      </w:r>
      <w:r w:rsidR="0049206B">
        <w:rPr>
          <w:szCs w:val="22"/>
        </w:rPr>
        <w:t xml:space="preserve">της </w:t>
      </w:r>
      <w:r w:rsidRPr="00F05EBC">
        <w:rPr>
          <w:szCs w:val="22"/>
        </w:rPr>
        <w:t xml:space="preserve">καθαρής ενέργειας στο μείγμα παραγωγής ηλεκτρικής ενέργειας και </w:t>
      </w:r>
      <w:r w:rsidR="0049206B">
        <w:rPr>
          <w:szCs w:val="22"/>
        </w:rPr>
        <w:t xml:space="preserve">την </w:t>
      </w:r>
      <w:r w:rsidRPr="00F05EBC">
        <w:rPr>
          <w:szCs w:val="22"/>
        </w:rPr>
        <w:t xml:space="preserve">περαιτέρω ενίσχυση και ψηφιοποίηση των δικτύων </w:t>
      </w:r>
      <w:r w:rsidRPr="0086372A">
        <w:rPr>
          <w:szCs w:val="22"/>
        </w:rPr>
        <w:t>διανομής.</w:t>
      </w:r>
      <w:r w:rsidR="00F05EBC" w:rsidRPr="0086372A">
        <w:rPr>
          <w:szCs w:val="22"/>
        </w:rPr>
        <w:t xml:space="preserve"> </w:t>
      </w:r>
      <w:r w:rsidR="002C077D" w:rsidRPr="0086372A">
        <w:rPr>
          <w:szCs w:val="22"/>
        </w:rPr>
        <w:t>Οι επενδύσεις στις δραστηριότητες ΑΠΕ</w:t>
      </w:r>
      <w:r w:rsidR="00BB59E1" w:rsidRPr="0086372A">
        <w:rPr>
          <w:szCs w:val="22"/>
        </w:rPr>
        <w:t xml:space="preserve">, </w:t>
      </w:r>
      <w:r w:rsidR="002C077D" w:rsidRPr="0086372A">
        <w:rPr>
          <w:szCs w:val="22"/>
        </w:rPr>
        <w:t xml:space="preserve"> </w:t>
      </w:r>
      <w:r w:rsidR="002C077D" w:rsidRPr="00132638">
        <w:rPr>
          <w:szCs w:val="22"/>
        </w:rPr>
        <w:t>Διανομής</w:t>
      </w:r>
      <w:r w:rsidR="00BB59E1" w:rsidRPr="00132638">
        <w:rPr>
          <w:szCs w:val="22"/>
        </w:rPr>
        <w:t xml:space="preserve"> και ψηφιοποίησης</w:t>
      </w:r>
      <w:r w:rsidR="00916F0A" w:rsidRPr="00132638">
        <w:rPr>
          <w:szCs w:val="22"/>
        </w:rPr>
        <w:t>,</w:t>
      </w:r>
      <w:r w:rsidR="00BB59E1" w:rsidRPr="00132638">
        <w:rPr>
          <w:szCs w:val="22"/>
        </w:rPr>
        <w:t xml:space="preserve"> </w:t>
      </w:r>
      <w:r w:rsidR="00916F0A" w:rsidRPr="00132638">
        <w:rPr>
          <w:szCs w:val="22"/>
        </w:rPr>
        <w:t xml:space="preserve">συμπεριλαμβανομένης της συνεισφοράς της Ρουμανίας, </w:t>
      </w:r>
      <w:r w:rsidR="002C077D" w:rsidRPr="00132638">
        <w:rPr>
          <w:szCs w:val="22"/>
        </w:rPr>
        <w:t>αυξήθηκαν σε</w:t>
      </w:r>
      <w:r w:rsidR="008F1E39" w:rsidRPr="00132638">
        <w:rPr>
          <w:szCs w:val="22"/>
        </w:rPr>
        <w:t xml:space="preserve"> περίπου </w:t>
      </w:r>
      <w:r w:rsidR="002C077D" w:rsidRPr="00132638">
        <w:rPr>
          <w:szCs w:val="22"/>
        </w:rPr>
        <w:t>€</w:t>
      </w:r>
      <w:r w:rsidR="008F1E39" w:rsidRPr="00132638">
        <w:rPr>
          <w:szCs w:val="22"/>
        </w:rPr>
        <w:t xml:space="preserve">0,8 </w:t>
      </w:r>
      <w:r w:rsidR="005B18C0" w:rsidRPr="00132638">
        <w:rPr>
          <w:szCs w:val="22"/>
        </w:rPr>
        <w:t>δισ</w:t>
      </w:r>
      <w:r w:rsidR="002C077D" w:rsidRPr="00132638">
        <w:rPr>
          <w:szCs w:val="22"/>
        </w:rPr>
        <w:t xml:space="preserve">., σημειώνοντας αύξηση </w:t>
      </w:r>
      <w:r w:rsidR="008F4EF6" w:rsidRPr="00132638">
        <w:rPr>
          <w:szCs w:val="22"/>
        </w:rPr>
        <w:t xml:space="preserve">κατά </w:t>
      </w:r>
      <w:r w:rsidR="00A06344" w:rsidRPr="00132638">
        <w:rPr>
          <w:szCs w:val="22"/>
        </w:rPr>
        <w:t>1</w:t>
      </w:r>
      <w:r w:rsidR="00442596" w:rsidRPr="00132638">
        <w:rPr>
          <w:szCs w:val="22"/>
        </w:rPr>
        <w:t>2</w:t>
      </w:r>
      <w:r w:rsidR="008F4EF6" w:rsidRPr="00132638">
        <w:rPr>
          <w:szCs w:val="22"/>
        </w:rPr>
        <w:t>0</w:t>
      </w:r>
      <w:r w:rsidR="002C077D" w:rsidRPr="00132638">
        <w:rPr>
          <w:szCs w:val="22"/>
        </w:rPr>
        <w:t>% σε σχέση με το α’ εξάμηνο του 2023.</w:t>
      </w:r>
    </w:p>
    <w:p w14:paraId="238A5A98" w14:textId="397EBE87" w:rsidR="002E66B3" w:rsidRPr="00132638" w:rsidRDefault="002E66B3" w:rsidP="002E66B3">
      <w:pPr>
        <w:pStyle w:val="DehPressRelease"/>
        <w:jc w:val="both"/>
        <w:rPr>
          <w:szCs w:val="22"/>
        </w:rPr>
      </w:pPr>
      <w:r w:rsidRPr="00132638">
        <w:rPr>
          <w:szCs w:val="22"/>
        </w:rPr>
        <w:t>Η εγκατεστημένη ισχύς σε ΑΠΕ διαμορφώθηκε σε 4,7GW στο τέλος Ιουνίου 2024 από 3</w:t>
      </w:r>
      <w:r w:rsidR="00D93067">
        <w:rPr>
          <w:szCs w:val="22"/>
        </w:rPr>
        <w:t>,</w:t>
      </w:r>
      <w:r w:rsidRPr="00132638">
        <w:rPr>
          <w:szCs w:val="22"/>
        </w:rPr>
        <w:t>5</w:t>
      </w:r>
      <w:r w:rsidRPr="00132638">
        <w:rPr>
          <w:szCs w:val="22"/>
          <w:lang w:val="en-US"/>
        </w:rPr>
        <w:t>GW</w:t>
      </w:r>
      <w:r w:rsidRPr="00132638">
        <w:rPr>
          <w:szCs w:val="22"/>
        </w:rPr>
        <w:t xml:space="preserve"> τον Ιούνιο του 2023. Επιπλέον, έργα 3,3 GW βρίσκονται ήδη σε στάδιο κατασκευής ή έτοιμα προς κατασκευή, </w:t>
      </w:r>
      <w:r w:rsidR="009402C6" w:rsidRPr="00132638">
        <w:rPr>
          <w:szCs w:val="22"/>
        </w:rPr>
        <w:t>για την επίτευξη του στόχου των 8,9GW το 2026 (90% του στόχου του 2026 είναι ήδη είτε σε λειτουργία είτε έργα υπό κατασκευή ή έτοιμα προς κατασκευή)</w:t>
      </w:r>
      <w:r w:rsidRPr="00132638">
        <w:rPr>
          <w:szCs w:val="22"/>
        </w:rPr>
        <w:t xml:space="preserve">.  </w:t>
      </w:r>
    </w:p>
    <w:p w14:paraId="76CF2593" w14:textId="2C3753C6" w:rsidR="006F3C8B" w:rsidRDefault="00C8191F" w:rsidP="005D017A">
      <w:pPr>
        <w:pStyle w:val="DehPressRelease"/>
        <w:jc w:val="both"/>
        <w:rPr>
          <w:szCs w:val="22"/>
        </w:rPr>
      </w:pPr>
      <w:r w:rsidRPr="00132638">
        <w:rPr>
          <w:szCs w:val="22"/>
        </w:rPr>
        <w:t xml:space="preserve">Η λιγνιτική παραγωγή </w:t>
      </w:r>
      <w:r w:rsidR="00D82869" w:rsidRPr="00132638">
        <w:rPr>
          <w:szCs w:val="22"/>
        </w:rPr>
        <w:t xml:space="preserve">το α΄εξάμηνο του 2024 </w:t>
      </w:r>
      <w:r w:rsidRPr="00132638">
        <w:rPr>
          <w:szCs w:val="22"/>
        </w:rPr>
        <w:t>μειώθηκε</w:t>
      </w:r>
      <w:r w:rsidR="00C866A0" w:rsidRPr="00132638">
        <w:rPr>
          <w:szCs w:val="22"/>
        </w:rPr>
        <w:t xml:space="preserve"> </w:t>
      </w:r>
      <w:r w:rsidR="00B028AC" w:rsidRPr="00132638">
        <w:rPr>
          <w:szCs w:val="22"/>
        </w:rPr>
        <w:t>κατά</w:t>
      </w:r>
      <w:r w:rsidRPr="00132638">
        <w:rPr>
          <w:szCs w:val="22"/>
        </w:rPr>
        <w:t xml:space="preserve"> </w:t>
      </w:r>
      <w:r w:rsidR="00DC50E5" w:rsidRPr="00132638">
        <w:rPr>
          <w:szCs w:val="22"/>
        </w:rPr>
        <w:t xml:space="preserve">περίπου </w:t>
      </w:r>
      <w:r w:rsidRPr="00132638">
        <w:rPr>
          <w:szCs w:val="22"/>
        </w:rPr>
        <w:t xml:space="preserve">30% </w:t>
      </w:r>
      <w:r w:rsidR="00D96D3A" w:rsidRPr="00132638">
        <w:rPr>
          <w:szCs w:val="22"/>
        </w:rPr>
        <w:t xml:space="preserve">σε σχέση με την αντίστοιχη περυσινή περίοδο και διαμορφώθηκε </w:t>
      </w:r>
      <w:r w:rsidRPr="00132638">
        <w:rPr>
          <w:szCs w:val="22"/>
        </w:rPr>
        <w:t xml:space="preserve">σε 1,5TWh, </w:t>
      </w:r>
      <w:r w:rsidR="00BE5AF5" w:rsidRPr="00132638">
        <w:rPr>
          <w:szCs w:val="22"/>
        </w:rPr>
        <w:t>που αντιστοιχεί</w:t>
      </w:r>
      <w:r w:rsidRPr="00132638">
        <w:rPr>
          <w:szCs w:val="22"/>
        </w:rPr>
        <w:t xml:space="preserve"> </w:t>
      </w:r>
      <w:r w:rsidR="00BE5AF5" w:rsidRPr="00132638">
        <w:rPr>
          <w:szCs w:val="22"/>
        </w:rPr>
        <w:t>σ</w:t>
      </w:r>
      <w:r w:rsidRPr="00132638">
        <w:rPr>
          <w:szCs w:val="22"/>
        </w:rPr>
        <w:t xml:space="preserve">το 16% της </w:t>
      </w:r>
      <w:r w:rsidR="00126FC3" w:rsidRPr="00132638">
        <w:rPr>
          <w:szCs w:val="22"/>
        </w:rPr>
        <w:t xml:space="preserve">συνολικής </w:t>
      </w:r>
      <w:r w:rsidRPr="00132638">
        <w:rPr>
          <w:szCs w:val="22"/>
        </w:rPr>
        <w:t>παραγωγής της ΔΕΗ.</w:t>
      </w:r>
      <w:r w:rsidR="00F05EBC" w:rsidRPr="00132638">
        <w:rPr>
          <w:szCs w:val="22"/>
        </w:rPr>
        <w:t xml:space="preserve"> </w:t>
      </w:r>
      <w:r w:rsidR="008B7C17" w:rsidRPr="00132638">
        <w:rPr>
          <w:szCs w:val="22"/>
        </w:rPr>
        <w:t xml:space="preserve">Ως αποτέλεσμα, οι </w:t>
      </w:r>
      <w:r w:rsidR="007A4EBB" w:rsidRPr="00132638">
        <w:rPr>
          <w:szCs w:val="22"/>
        </w:rPr>
        <w:t xml:space="preserve">άμεσες </w:t>
      </w:r>
      <w:r w:rsidR="008B7C17" w:rsidRPr="00132638">
        <w:rPr>
          <w:szCs w:val="22"/>
        </w:rPr>
        <w:t>εκπομπές CO</w:t>
      </w:r>
      <w:r w:rsidR="008B7C17" w:rsidRPr="00132638">
        <w:rPr>
          <w:szCs w:val="22"/>
          <w:vertAlign w:val="subscript"/>
        </w:rPr>
        <w:t>2</w:t>
      </w:r>
      <w:r w:rsidR="007A4EBB" w:rsidRPr="00132638">
        <w:rPr>
          <w:szCs w:val="22"/>
        </w:rPr>
        <w:t xml:space="preserve"> </w:t>
      </w:r>
      <w:r w:rsidR="001C562F" w:rsidRPr="00132638">
        <w:rPr>
          <w:szCs w:val="22"/>
        </w:rPr>
        <w:t>(</w:t>
      </w:r>
      <w:r w:rsidR="001C562F" w:rsidRPr="00132638">
        <w:rPr>
          <w:szCs w:val="22"/>
          <w:lang w:val="en-US"/>
        </w:rPr>
        <w:t>Scope</w:t>
      </w:r>
      <w:r w:rsidR="001C562F" w:rsidRPr="00132638">
        <w:rPr>
          <w:szCs w:val="22"/>
        </w:rPr>
        <w:t xml:space="preserve"> 1) </w:t>
      </w:r>
      <w:r w:rsidR="008B7C17" w:rsidRPr="00132638">
        <w:rPr>
          <w:szCs w:val="22"/>
        </w:rPr>
        <w:t xml:space="preserve">μειώθηκαν κατά 8% σε σύγκριση με το </w:t>
      </w:r>
      <w:r w:rsidR="007A4EBB" w:rsidRPr="00132638">
        <w:rPr>
          <w:szCs w:val="22"/>
        </w:rPr>
        <w:t>α’</w:t>
      </w:r>
      <w:r w:rsidR="008B7C17" w:rsidRPr="00132638">
        <w:rPr>
          <w:szCs w:val="22"/>
        </w:rPr>
        <w:t xml:space="preserve"> εξάμηνο του 2023.</w:t>
      </w:r>
      <w:r w:rsidR="00F05EBC" w:rsidRPr="00132638">
        <w:rPr>
          <w:szCs w:val="22"/>
        </w:rPr>
        <w:t xml:space="preserve"> </w:t>
      </w:r>
      <w:r w:rsidR="00455C3C" w:rsidRPr="00132638">
        <w:rPr>
          <w:szCs w:val="22"/>
        </w:rPr>
        <w:t>Η μείωση των εκπομπών CO</w:t>
      </w:r>
      <w:r w:rsidR="00455C3C" w:rsidRPr="00132638">
        <w:rPr>
          <w:szCs w:val="22"/>
          <w:vertAlign w:val="subscript"/>
        </w:rPr>
        <w:t>2</w:t>
      </w:r>
      <w:r w:rsidR="00455C3C" w:rsidRPr="00132638">
        <w:rPr>
          <w:szCs w:val="22"/>
        </w:rPr>
        <w:t xml:space="preserve"> </w:t>
      </w:r>
      <w:r w:rsidR="001C2830" w:rsidRPr="00132638">
        <w:rPr>
          <w:szCs w:val="22"/>
        </w:rPr>
        <w:t xml:space="preserve">έρχεται σε συνέχεια της </w:t>
      </w:r>
      <w:r w:rsidR="00455C3C" w:rsidRPr="00132638">
        <w:rPr>
          <w:szCs w:val="22"/>
        </w:rPr>
        <w:t>θετική</w:t>
      </w:r>
      <w:r w:rsidR="001C2830" w:rsidRPr="00132638">
        <w:rPr>
          <w:szCs w:val="22"/>
        </w:rPr>
        <w:t>ς</w:t>
      </w:r>
      <w:r w:rsidR="00455C3C" w:rsidRPr="00132638">
        <w:rPr>
          <w:szCs w:val="22"/>
        </w:rPr>
        <w:t xml:space="preserve"> </w:t>
      </w:r>
      <w:r w:rsidR="00BC6017" w:rsidRPr="00132638">
        <w:rPr>
          <w:szCs w:val="22"/>
        </w:rPr>
        <w:t xml:space="preserve">πορείας </w:t>
      </w:r>
      <w:r w:rsidR="00455C3C" w:rsidRPr="00132638">
        <w:rPr>
          <w:szCs w:val="22"/>
        </w:rPr>
        <w:t xml:space="preserve">των προηγούμενων ετών </w:t>
      </w:r>
      <w:r w:rsidR="00BC6017" w:rsidRPr="00132638">
        <w:rPr>
          <w:szCs w:val="22"/>
        </w:rPr>
        <w:t xml:space="preserve">και της μείωσης κατά </w:t>
      </w:r>
      <w:r w:rsidR="0092187F" w:rsidRPr="00132638">
        <w:rPr>
          <w:szCs w:val="22"/>
        </w:rPr>
        <w:t xml:space="preserve">57,8% </w:t>
      </w:r>
      <w:r w:rsidR="00637550" w:rsidRPr="00132638">
        <w:rPr>
          <w:szCs w:val="22"/>
        </w:rPr>
        <w:t>μεταξύ 2019 και 2023</w:t>
      </w:r>
      <w:r w:rsidR="00455C3C" w:rsidRPr="00132638">
        <w:rPr>
          <w:szCs w:val="22"/>
        </w:rPr>
        <w:t xml:space="preserve">, </w:t>
      </w:r>
      <w:r w:rsidR="0092187F" w:rsidRPr="00132638">
        <w:rPr>
          <w:szCs w:val="22"/>
        </w:rPr>
        <w:t xml:space="preserve">η οποία οδήγησε στην επίτευξη του στόχου </w:t>
      </w:r>
      <w:r w:rsidR="00875764" w:rsidRPr="00132638">
        <w:rPr>
          <w:szCs w:val="22"/>
        </w:rPr>
        <w:t>που είχε τεθεί στ</w:t>
      </w:r>
      <w:r w:rsidR="00713DBE" w:rsidRPr="00132638">
        <w:rPr>
          <w:szCs w:val="22"/>
        </w:rPr>
        <w:t>ις Ομολογίες</w:t>
      </w:r>
      <w:r w:rsidR="00966CF2">
        <w:rPr>
          <w:szCs w:val="22"/>
        </w:rPr>
        <w:t xml:space="preserve"> </w:t>
      </w:r>
      <w:r w:rsidR="00713DBE" w:rsidRPr="00713DBE">
        <w:rPr>
          <w:szCs w:val="22"/>
        </w:rPr>
        <w:t>με ρήτρα αειφορίας</w:t>
      </w:r>
      <w:r w:rsidR="00414040">
        <w:rPr>
          <w:szCs w:val="22"/>
        </w:rPr>
        <w:t>,</w:t>
      </w:r>
      <w:r w:rsidR="00875764">
        <w:rPr>
          <w:szCs w:val="22"/>
        </w:rPr>
        <w:t xml:space="preserve"> λήξης </w:t>
      </w:r>
      <w:r w:rsidR="00B54C1D">
        <w:rPr>
          <w:szCs w:val="22"/>
        </w:rPr>
        <w:t xml:space="preserve">το </w:t>
      </w:r>
      <w:r w:rsidR="00875764">
        <w:rPr>
          <w:szCs w:val="22"/>
        </w:rPr>
        <w:t>2028</w:t>
      </w:r>
      <w:r w:rsidR="00455C3C" w:rsidRPr="00F05EBC">
        <w:rPr>
          <w:szCs w:val="22"/>
        </w:rPr>
        <w:t xml:space="preserve">, αναδεικνύοντας τη δέσμευση της ΔΕΗ να </w:t>
      </w:r>
      <w:r w:rsidR="00414040">
        <w:rPr>
          <w:szCs w:val="22"/>
        </w:rPr>
        <w:t>καταστήσει</w:t>
      </w:r>
      <w:r w:rsidR="00414040" w:rsidRPr="00F05EBC">
        <w:rPr>
          <w:szCs w:val="22"/>
        </w:rPr>
        <w:t xml:space="preserve"> </w:t>
      </w:r>
      <w:r w:rsidR="00455C3C" w:rsidRPr="00F05EBC">
        <w:rPr>
          <w:szCs w:val="22"/>
        </w:rPr>
        <w:t xml:space="preserve">το ενεργειακό της μείγμα </w:t>
      </w:r>
      <w:r w:rsidR="00414040">
        <w:rPr>
          <w:szCs w:val="22"/>
        </w:rPr>
        <w:t xml:space="preserve">πιο </w:t>
      </w:r>
      <w:r w:rsidR="001318A5">
        <w:rPr>
          <w:szCs w:val="22"/>
        </w:rPr>
        <w:t>«</w:t>
      </w:r>
      <w:r w:rsidR="00455C3C" w:rsidRPr="00F05EBC">
        <w:rPr>
          <w:szCs w:val="22"/>
        </w:rPr>
        <w:t>πράσινο</w:t>
      </w:r>
      <w:r w:rsidR="001318A5">
        <w:rPr>
          <w:szCs w:val="22"/>
        </w:rPr>
        <w:t>»</w:t>
      </w:r>
      <w:r w:rsidR="00455C3C" w:rsidRPr="00F05EBC">
        <w:rPr>
          <w:szCs w:val="22"/>
        </w:rPr>
        <w:t>.</w:t>
      </w:r>
      <w:r w:rsidR="00DC2D93">
        <w:rPr>
          <w:szCs w:val="22"/>
        </w:rPr>
        <w:t xml:space="preserve"> </w:t>
      </w:r>
    </w:p>
    <w:p w14:paraId="62B78DC4" w14:textId="7B197B58" w:rsidR="00455C3C" w:rsidRPr="00455C3C" w:rsidRDefault="00DC2D93" w:rsidP="005D017A">
      <w:pPr>
        <w:pStyle w:val="DehPressRelease"/>
        <w:jc w:val="both"/>
        <w:rPr>
          <w:szCs w:val="22"/>
        </w:rPr>
      </w:pPr>
      <w:r>
        <w:rPr>
          <w:szCs w:val="22"/>
        </w:rPr>
        <w:t>Αντίθετα, η παραγωγή από ΑΠΕ</w:t>
      </w:r>
      <w:r w:rsidR="00BD258F">
        <w:rPr>
          <w:szCs w:val="22"/>
        </w:rPr>
        <w:t xml:space="preserve"> </w:t>
      </w:r>
      <w:r>
        <w:rPr>
          <w:szCs w:val="22"/>
        </w:rPr>
        <w:t>αυ</w:t>
      </w:r>
      <w:r w:rsidR="00C561A7">
        <w:rPr>
          <w:szCs w:val="22"/>
        </w:rPr>
        <w:t xml:space="preserve">ξήθηκε κατά </w:t>
      </w:r>
      <w:r w:rsidR="006F3C8B">
        <w:rPr>
          <w:szCs w:val="22"/>
        </w:rPr>
        <w:t>6</w:t>
      </w:r>
      <w:r w:rsidR="00A02429">
        <w:rPr>
          <w:szCs w:val="22"/>
        </w:rPr>
        <w:t>5</w:t>
      </w:r>
      <w:r w:rsidR="006F3C8B">
        <w:rPr>
          <w:szCs w:val="22"/>
        </w:rPr>
        <w:t xml:space="preserve">% το α΄ εξάμηνο του 2024 σε σχέση με το α’ εξάμηνο του 2023 και διαμορφώθηκε </w:t>
      </w:r>
      <w:r w:rsidR="006F3C8B" w:rsidRPr="00F05EBC">
        <w:rPr>
          <w:szCs w:val="22"/>
        </w:rPr>
        <w:t xml:space="preserve">σε </w:t>
      </w:r>
      <w:r w:rsidR="00745E7F">
        <w:rPr>
          <w:szCs w:val="22"/>
        </w:rPr>
        <w:t>3,1</w:t>
      </w:r>
      <w:r w:rsidR="006F3C8B" w:rsidRPr="00F05EBC">
        <w:rPr>
          <w:szCs w:val="22"/>
        </w:rPr>
        <w:t xml:space="preserve">TWh, </w:t>
      </w:r>
      <w:r w:rsidR="006F3C8B">
        <w:rPr>
          <w:szCs w:val="22"/>
        </w:rPr>
        <w:t>που αντιστοιχεί</w:t>
      </w:r>
      <w:r w:rsidR="006F3C8B" w:rsidRPr="00F05EBC">
        <w:rPr>
          <w:szCs w:val="22"/>
        </w:rPr>
        <w:t xml:space="preserve"> </w:t>
      </w:r>
      <w:r w:rsidR="006F3C8B">
        <w:rPr>
          <w:szCs w:val="22"/>
        </w:rPr>
        <w:t>σ</w:t>
      </w:r>
      <w:r w:rsidR="006F3C8B" w:rsidRPr="00F05EBC">
        <w:rPr>
          <w:szCs w:val="22"/>
        </w:rPr>
        <w:t xml:space="preserve">το </w:t>
      </w:r>
      <w:r w:rsidR="00745E7F">
        <w:rPr>
          <w:szCs w:val="22"/>
        </w:rPr>
        <w:t>33</w:t>
      </w:r>
      <w:r w:rsidR="006F3C8B" w:rsidRPr="00F05EBC">
        <w:rPr>
          <w:szCs w:val="22"/>
        </w:rPr>
        <w:t xml:space="preserve">% της </w:t>
      </w:r>
      <w:r w:rsidR="006F3C8B">
        <w:rPr>
          <w:szCs w:val="22"/>
        </w:rPr>
        <w:t xml:space="preserve">συνολικής </w:t>
      </w:r>
      <w:r w:rsidR="006F3C8B" w:rsidRPr="00F05EBC">
        <w:rPr>
          <w:szCs w:val="22"/>
        </w:rPr>
        <w:t>παραγωγής της ΔΕΗ</w:t>
      </w:r>
      <w:r w:rsidR="00745E7F">
        <w:rPr>
          <w:szCs w:val="22"/>
        </w:rPr>
        <w:t>.</w:t>
      </w:r>
    </w:p>
    <w:p w14:paraId="52168878" w14:textId="36C68154" w:rsidR="00F05EBC" w:rsidRPr="00455C3C" w:rsidRDefault="00F05EBC" w:rsidP="00F05EBC">
      <w:pPr>
        <w:pStyle w:val="DehPressRelease"/>
        <w:jc w:val="both"/>
        <w:rPr>
          <w:b/>
          <w:bCs/>
          <w:szCs w:val="22"/>
          <w:highlight w:val="yellow"/>
        </w:rPr>
      </w:pPr>
    </w:p>
    <w:p w14:paraId="0550C625" w14:textId="77777777" w:rsidR="00145FF1" w:rsidRPr="008A3993" w:rsidRDefault="00145FF1" w:rsidP="00145FF1">
      <w:pPr>
        <w:pStyle w:val="DehPressRelease"/>
        <w:jc w:val="both"/>
        <w:rPr>
          <w:b/>
          <w:bCs/>
          <w:szCs w:val="22"/>
        </w:rPr>
      </w:pPr>
      <w:r w:rsidRPr="008A3993">
        <w:rPr>
          <w:b/>
          <w:bCs/>
          <w:szCs w:val="22"/>
        </w:rPr>
        <w:t xml:space="preserve">Οικονομικές επιδόσεις </w:t>
      </w:r>
    </w:p>
    <w:p w14:paraId="6195301A" w14:textId="1B9DE8B1" w:rsidR="001504E0" w:rsidRPr="00704014" w:rsidRDefault="0038088C" w:rsidP="00F51477">
      <w:pPr>
        <w:pStyle w:val="DehPressRelease"/>
        <w:jc w:val="both"/>
        <w:rPr>
          <w:rFonts w:cs="Arial"/>
          <w:i/>
          <w:strike/>
          <w:color w:val="FF0000"/>
          <w:spacing w:val="-14"/>
        </w:rPr>
      </w:pPr>
      <w:r>
        <w:rPr>
          <w:b/>
          <w:bCs/>
          <w:szCs w:val="22"/>
        </w:rPr>
        <w:t xml:space="preserve">Ισχυρή </w:t>
      </w:r>
      <w:r w:rsidR="001504E0" w:rsidRPr="008A3993">
        <w:rPr>
          <w:b/>
          <w:bCs/>
          <w:szCs w:val="22"/>
        </w:rPr>
        <w:t xml:space="preserve">λειτουργική κερδοφορία για το α’ </w:t>
      </w:r>
      <w:r>
        <w:rPr>
          <w:b/>
          <w:bCs/>
          <w:szCs w:val="22"/>
        </w:rPr>
        <w:t>εξάμηνο</w:t>
      </w:r>
      <w:r w:rsidR="001504E0" w:rsidRPr="008A3993">
        <w:rPr>
          <w:b/>
          <w:bCs/>
          <w:szCs w:val="22"/>
        </w:rPr>
        <w:t xml:space="preserve"> 2024 </w:t>
      </w:r>
      <w:r w:rsidR="001504E0" w:rsidRPr="008A3993">
        <w:rPr>
          <w:szCs w:val="22"/>
        </w:rPr>
        <w:t xml:space="preserve">με τα </w:t>
      </w:r>
      <w:r w:rsidR="00E20B67">
        <w:rPr>
          <w:szCs w:val="22"/>
        </w:rPr>
        <w:t xml:space="preserve">προσαρμοσμένα </w:t>
      </w:r>
      <w:r w:rsidR="001504E0" w:rsidRPr="008A3993">
        <w:rPr>
          <w:szCs w:val="22"/>
        </w:rPr>
        <w:t>κέρδη προ τόκων, φόρων και αποσβέσεων (</w:t>
      </w:r>
      <w:r w:rsidR="001504E0" w:rsidRPr="008A3993">
        <w:rPr>
          <w:szCs w:val="22"/>
          <w:lang w:val="en-US"/>
        </w:rPr>
        <w:t>EBITDA</w:t>
      </w:r>
      <w:r w:rsidR="001504E0" w:rsidRPr="008A3993">
        <w:rPr>
          <w:szCs w:val="22"/>
        </w:rPr>
        <w:t xml:space="preserve">) να </w:t>
      </w:r>
      <w:r w:rsidR="001504E0" w:rsidRPr="00EB6BCB">
        <w:rPr>
          <w:szCs w:val="22"/>
        </w:rPr>
        <w:t>διαμορφώνονται σε €</w:t>
      </w:r>
      <w:r w:rsidR="00EA7FCA" w:rsidRPr="00EB6BCB">
        <w:rPr>
          <w:szCs w:val="22"/>
        </w:rPr>
        <w:t>92</w:t>
      </w:r>
      <w:r w:rsidR="00206AF8">
        <w:rPr>
          <w:szCs w:val="22"/>
        </w:rPr>
        <w:t>7</w:t>
      </w:r>
      <w:r w:rsidR="001504E0" w:rsidRPr="00EB6BCB">
        <w:rPr>
          <w:szCs w:val="22"/>
        </w:rPr>
        <w:t xml:space="preserve"> εκατ., αυξημένα κατά </w:t>
      </w:r>
      <w:r w:rsidR="00EA7FCA" w:rsidRPr="00EB6BCB">
        <w:rPr>
          <w:szCs w:val="22"/>
        </w:rPr>
        <w:t>57</w:t>
      </w:r>
      <w:r w:rsidR="001504E0" w:rsidRPr="00EB6BCB">
        <w:rPr>
          <w:szCs w:val="22"/>
        </w:rPr>
        <w:t xml:space="preserve">% σε σχέση με το α’ </w:t>
      </w:r>
      <w:r w:rsidR="00EA7FCA" w:rsidRPr="00EB6BCB">
        <w:rPr>
          <w:szCs w:val="22"/>
        </w:rPr>
        <w:t>εξάμηνο</w:t>
      </w:r>
      <w:r w:rsidR="001504E0" w:rsidRPr="00EB6BCB">
        <w:rPr>
          <w:szCs w:val="22"/>
        </w:rPr>
        <w:t xml:space="preserve"> 2023</w:t>
      </w:r>
      <w:r w:rsidR="00122E3B">
        <w:rPr>
          <w:szCs w:val="22"/>
        </w:rPr>
        <w:t xml:space="preserve">. </w:t>
      </w:r>
      <w:r w:rsidR="00156828">
        <w:rPr>
          <w:szCs w:val="22"/>
        </w:rPr>
        <w:t>Στην θετική αυτή εξέλιξη συνέβαλε η</w:t>
      </w:r>
      <w:r w:rsidR="001504E0" w:rsidRPr="006F72BA">
        <w:rPr>
          <w:szCs w:val="22"/>
        </w:rPr>
        <w:t xml:space="preserve"> αυξημένη συνεισφορά των δραστηριοτήτων της Διανομής</w:t>
      </w:r>
      <w:r w:rsidR="006433DC" w:rsidRPr="006F72BA">
        <w:rPr>
          <w:szCs w:val="22"/>
        </w:rPr>
        <w:t xml:space="preserve">, </w:t>
      </w:r>
      <w:r w:rsidR="00156828">
        <w:rPr>
          <w:szCs w:val="22"/>
        </w:rPr>
        <w:t>η</w:t>
      </w:r>
      <w:r w:rsidR="00156828" w:rsidRPr="006F72BA">
        <w:rPr>
          <w:szCs w:val="22"/>
        </w:rPr>
        <w:t xml:space="preserve"> </w:t>
      </w:r>
      <w:r w:rsidR="00074D34" w:rsidRPr="006F72BA">
        <w:rPr>
          <w:szCs w:val="22"/>
        </w:rPr>
        <w:t xml:space="preserve">βελτίωση </w:t>
      </w:r>
      <w:r w:rsidR="00A92560" w:rsidRPr="006F72BA">
        <w:rPr>
          <w:szCs w:val="22"/>
        </w:rPr>
        <w:t>της κερδοφορίας τ</w:t>
      </w:r>
      <w:r w:rsidR="00BF4AB0" w:rsidRPr="006F72BA">
        <w:rPr>
          <w:szCs w:val="22"/>
        </w:rPr>
        <w:t>ων δραστηριοτήτων της παραγωγής και εμπορίας ηλεκτρικής ενέργειας</w:t>
      </w:r>
      <w:r w:rsidR="00306461" w:rsidRPr="00F117F5">
        <w:rPr>
          <w:szCs w:val="22"/>
        </w:rPr>
        <w:t xml:space="preserve"> </w:t>
      </w:r>
      <w:r w:rsidR="001504E0" w:rsidRPr="00F117F5">
        <w:rPr>
          <w:szCs w:val="22"/>
        </w:rPr>
        <w:t xml:space="preserve">και </w:t>
      </w:r>
      <w:r w:rsidR="00156828">
        <w:rPr>
          <w:szCs w:val="22"/>
        </w:rPr>
        <w:t>η</w:t>
      </w:r>
      <w:r w:rsidR="00156828" w:rsidRPr="00F117F5">
        <w:rPr>
          <w:szCs w:val="22"/>
        </w:rPr>
        <w:t xml:space="preserve"> </w:t>
      </w:r>
      <w:r w:rsidR="00306461" w:rsidRPr="00F117F5">
        <w:rPr>
          <w:szCs w:val="22"/>
        </w:rPr>
        <w:t>προσθήκη</w:t>
      </w:r>
      <w:r w:rsidR="001504E0" w:rsidRPr="00F117F5">
        <w:rPr>
          <w:szCs w:val="22"/>
        </w:rPr>
        <w:t xml:space="preserve"> των  δραστηριοτήτων στη Ρουμανία.</w:t>
      </w:r>
      <w:r w:rsidR="00F51477">
        <w:rPr>
          <w:szCs w:val="22"/>
        </w:rPr>
        <w:t xml:space="preserve"> </w:t>
      </w:r>
    </w:p>
    <w:p w14:paraId="03DF7E3B" w14:textId="64B755B8" w:rsidR="001504E0" w:rsidRPr="00916534" w:rsidRDefault="0063072B" w:rsidP="007E7FDB">
      <w:pPr>
        <w:pStyle w:val="DehPressRelease"/>
        <w:spacing w:after="240"/>
        <w:jc w:val="both"/>
        <w:rPr>
          <w:szCs w:val="22"/>
        </w:rPr>
      </w:pPr>
      <w:r w:rsidRPr="00B50C9B">
        <w:rPr>
          <w:b/>
          <w:bCs/>
          <w:szCs w:val="22"/>
        </w:rPr>
        <w:lastRenderedPageBreak/>
        <w:t xml:space="preserve">Τα </w:t>
      </w:r>
      <w:r w:rsidR="00111E3A" w:rsidRPr="00B50C9B">
        <w:rPr>
          <w:b/>
          <w:bCs/>
          <w:szCs w:val="22"/>
        </w:rPr>
        <w:t xml:space="preserve">προσαρμοσμένα </w:t>
      </w:r>
      <w:r w:rsidRPr="00B50C9B">
        <w:rPr>
          <w:b/>
          <w:bCs/>
          <w:szCs w:val="22"/>
        </w:rPr>
        <w:t>καθαρά κέρδη</w:t>
      </w:r>
      <w:r w:rsidR="00B964D2" w:rsidRPr="00EF2928">
        <w:rPr>
          <w:szCs w:val="22"/>
        </w:rPr>
        <w:t xml:space="preserve"> </w:t>
      </w:r>
      <w:r w:rsidR="00B964D2" w:rsidRPr="00B50C9B">
        <w:rPr>
          <w:szCs w:val="22"/>
        </w:rPr>
        <w:t>διαμορφώθηκαν σε €22</w:t>
      </w:r>
      <w:r w:rsidR="009B2644" w:rsidRPr="00B50C9B">
        <w:rPr>
          <w:szCs w:val="22"/>
        </w:rPr>
        <w:t>8</w:t>
      </w:r>
      <w:r w:rsidR="00B964D2" w:rsidRPr="00B50C9B">
        <w:rPr>
          <w:szCs w:val="22"/>
        </w:rPr>
        <w:t xml:space="preserve"> εκατ. έναντι €</w:t>
      </w:r>
      <w:r w:rsidR="0054617C" w:rsidRPr="00B50C9B">
        <w:rPr>
          <w:szCs w:val="22"/>
        </w:rPr>
        <w:t>8</w:t>
      </w:r>
      <w:r w:rsidR="00163CDA" w:rsidRPr="00B50C9B">
        <w:rPr>
          <w:szCs w:val="22"/>
        </w:rPr>
        <w:t>4</w:t>
      </w:r>
      <w:r w:rsidR="00B964D2" w:rsidRPr="00B50C9B">
        <w:rPr>
          <w:szCs w:val="22"/>
        </w:rPr>
        <w:t xml:space="preserve"> εκατ. το α’ εξάμηνο 2023</w:t>
      </w:r>
      <w:r w:rsidR="001A3B5F" w:rsidRPr="00B50C9B">
        <w:rPr>
          <w:rStyle w:val="ae"/>
          <w:szCs w:val="22"/>
        </w:rPr>
        <w:footnoteReference w:id="3"/>
      </w:r>
      <w:r w:rsidR="00B964D2" w:rsidRPr="00B50C9B">
        <w:rPr>
          <w:szCs w:val="22"/>
        </w:rPr>
        <w:t>.</w:t>
      </w:r>
      <w:r w:rsidR="00B51C6F" w:rsidRPr="00B50C9B">
        <w:t xml:space="preserve"> </w:t>
      </w:r>
      <w:r w:rsidR="00B51C6F" w:rsidRPr="00B50C9B">
        <w:rPr>
          <w:szCs w:val="22"/>
        </w:rPr>
        <w:t xml:space="preserve">Τα προσαρμοσμένα καθαρά κέρδη </w:t>
      </w:r>
      <w:r w:rsidR="000361E0" w:rsidRPr="00B50C9B">
        <w:rPr>
          <w:szCs w:val="22"/>
        </w:rPr>
        <w:t xml:space="preserve">μετά την αφαίρεση των </w:t>
      </w:r>
      <w:r w:rsidR="00B51C6F" w:rsidRPr="00B50C9B">
        <w:rPr>
          <w:szCs w:val="22"/>
        </w:rPr>
        <w:t xml:space="preserve">δικαιωμάτων μειοψηφίας διαμορφώθηκαν σε </w:t>
      </w:r>
      <w:r w:rsidR="00376120" w:rsidRPr="00B50C9B">
        <w:rPr>
          <w:szCs w:val="22"/>
        </w:rPr>
        <w:t>€17</w:t>
      </w:r>
      <w:r w:rsidR="009B2644" w:rsidRPr="00B50C9B">
        <w:rPr>
          <w:szCs w:val="22"/>
        </w:rPr>
        <w:t>9</w:t>
      </w:r>
      <w:r w:rsidR="00376120" w:rsidRPr="00B50C9B">
        <w:rPr>
          <w:szCs w:val="22"/>
        </w:rPr>
        <w:t xml:space="preserve"> εκατ. </w:t>
      </w:r>
      <w:r w:rsidR="000361E0" w:rsidRPr="00B50C9B">
        <w:rPr>
          <w:szCs w:val="22"/>
        </w:rPr>
        <w:t>από</w:t>
      </w:r>
      <w:r w:rsidR="00376120" w:rsidRPr="00B50C9B">
        <w:rPr>
          <w:szCs w:val="22"/>
        </w:rPr>
        <w:t xml:space="preserve"> €</w:t>
      </w:r>
      <w:r w:rsidR="0054617C" w:rsidRPr="00B50C9B">
        <w:rPr>
          <w:szCs w:val="22"/>
        </w:rPr>
        <w:t>7</w:t>
      </w:r>
      <w:r w:rsidR="00163CDA" w:rsidRPr="00B50C9B">
        <w:rPr>
          <w:szCs w:val="22"/>
        </w:rPr>
        <w:t>8</w:t>
      </w:r>
      <w:r w:rsidR="00376120" w:rsidRPr="00B50C9B">
        <w:rPr>
          <w:szCs w:val="22"/>
        </w:rPr>
        <w:t xml:space="preserve"> εκατ. το α’ εξάμηνο 2023</w:t>
      </w:r>
      <w:r w:rsidR="00C63A81" w:rsidRPr="00B50C9B">
        <w:rPr>
          <w:rStyle w:val="ae"/>
          <w:szCs w:val="22"/>
        </w:rPr>
        <w:footnoteReference w:id="4"/>
      </w:r>
      <w:r w:rsidR="00376120" w:rsidRPr="00B50C9B">
        <w:rPr>
          <w:szCs w:val="22"/>
        </w:rPr>
        <w:t>.</w:t>
      </w:r>
    </w:p>
    <w:p w14:paraId="2FFA5DB9" w14:textId="13F47C62" w:rsidR="001504E0" w:rsidRPr="00E067EE" w:rsidRDefault="00E11E89" w:rsidP="001504E0">
      <w:pPr>
        <w:pStyle w:val="DehPressRelease"/>
        <w:spacing w:after="240"/>
        <w:jc w:val="both"/>
        <w:rPr>
          <w:szCs w:val="22"/>
        </w:rPr>
      </w:pPr>
      <w:r>
        <w:rPr>
          <w:b/>
          <w:bCs/>
          <w:szCs w:val="22"/>
        </w:rPr>
        <w:t>Ισχυρή</w:t>
      </w:r>
      <w:r w:rsidR="001504E0" w:rsidRPr="00E067EE">
        <w:rPr>
          <w:b/>
          <w:bCs/>
          <w:szCs w:val="22"/>
        </w:rPr>
        <w:t xml:space="preserve"> χρηματοοικονομική θέση</w:t>
      </w:r>
      <w:r w:rsidR="001504E0" w:rsidRPr="00E067EE">
        <w:rPr>
          <w:szCs w:val="22"/>
        </w:rPr>
        <w:t xml:space="preserve"> παρά τ</w:t>
      </w:r>
      <w:r w:rsidR="001504E0">
        <w:rPr>
          <w:szCs w:val="22"/>
        </w:rPr>
        <w:t xml:space="preserve">ην επιτάχυνση των </w:t>
      </w:r>
      <w:r w:rsidR="001504E0" w:rsidRPr="00E067EE">
        <w:rPr>
          <w:szCs w:val="22"/>
        </w:rPr>
        <w:t>επενδύσε</w:t>
      </w:r>
      <w:r w:rsidR="001504E0">
        <w:rPr>
          <w:szCs w:val="22"/>
        </w:rPr>
        <w:t>ων</w:t>
      </w:r>
      <w:r w:rsidR="001504E0" w:rsidRPr="00E067EE">
        <w:rPr>
          <w:szCs w:val="22"/>
        </w:rPr>
        <w:t>. Η ΔΕΗ διατήρησε τον δείκτη Καθαρό χρέος/</w:t>
      </w:r>
      <w:r w:rsidR="001504E0" w:rsidRPr="00E067EE">
        <w:rPr>
          <w:szCs w:val="22"/>
          <w:lang w:val="en-US"/>
        </w:rPr>
        <w:t>LTM</w:t>
      </w:r>
      <w:r w:rsidR="001504E0" w:rsidRPr="00E067EE">
        <w:rPr>
          <w:szCs w:val="22"/>
        </w:rPr>
        <w:t xml:space="preserve"> PF EBITDA </w:t>
      </w:r>
      <w:r w:rsidR="001504E0">
        <w:rPr>
          <w:szCs w:val="22"/>
        </w:rPr>
        <w:t xml:space="preserve">τον </w:t>
      </w:r>
      <w:r w:rsidR="00B77DA1">
        <w:rPr>
          <w:szCs w:val="22"/>
        </w:rPr>
        <w:t>Ιούνιο</w:t>
      </w:r>
      <w:r w:rsidR="001504E0">
        <w:rPr>
          <w:szCs w:val="22"/>
        </w:rPr>
        <w:t xml:space="preserve"> </w:t>
      </w:r>
      <w:r w:rsidR="001504E0" w:rsidRPr="009B6954">
        <w:rPr>
          <w:szCs w:val="22"/>
        </w:rPr>
        <w:t>2024 στο</w:t>
      </w:r>
      <w:r w:rsidR="00873B42" w:rsidRPr="003432BC">
        <w:rPr>
          <w:szCs w:val="22"/>
        </w:rPr>
        <w:t xml:space="preserve"> 2.3</w:t>
      </w:r>
      <w:r w:rsidR="00873B42">
        <w:rPr>
          <w:szCs w:val="22"/>
          <w:lang w:val="en-US"/>
        </w:rPr>
        <w:t>x</w:t>
      </w:r>
      <w:r w:rsidR="001504E0" w:rsidRPr="009B6954">
        <w:rPr>
          <w:szCs w:val="22"/>
        </w:rPr>
        <w:t>,</w:t>
      </w:r>
      <w:r w:rsidR="001504E0" w:rsidRPr="00E067EE">
        <w:rPr>
          <w:szCs w:val="22"/>
        </w:rPr>
        <w:t xml:space="preserve"> πολύ χαμηλότερα από το όριο του 3,5x που έχει θέσει, με τον καθαρό δανεισμό να διαμορφώνεται σε €3</w:t>
      </w:r>
      <w:r w:rsidR="00447E45">
        <w:rPr>
          <w:szCs w:val="22"/>
        </w:rPr>
        <w:t>.</w:t>
      </w:r>
      <w:r w:rsidR="00DF2C90">
        <w:rPr>
          <w:szCs w:val="22"/>
        </w:rPr>
        <w:t>82</w:t>
      </w:r>
      <w:r w:rsidR="00206AF8">
        <w:rPr>
          <w:szCs w:val="22"/>
        </w:rPr>
        <w:t>6</w:t>
      </w:r>
      <w:r w:rsidR="001504E0" w:rsidRPr="00E067EE">
        <w:rPr>
          <w:szCs w:val="22"/>
        </w:rPr>
        <w:t xml:space="preserve"> εκατ. στις 3</w:t>
      </w:r>
      <w:r w:rsidR="00DF2C90">
        <w:rPr>
          <w:szCs w:val="22"/>
        </w:rPr>
        <w:t>0</w:t>
      </w:r>
      <w:r w:rsidR="001504E0" w:rsidRPr="00E067EE">
        <w:rPr>
          <w:szCs w:val="22"/>
        </w:rPr>
        <w:t>.0</w:t>
      </w:r>
      <w:r w:rsidR="00DF2C90">
        <w:rPr>
          <w:szCs w:val="22"/>
        </w:rPr>
        <w:t>6</w:t>
      </w:r>
      <w:r w:rsidR="001504E0" w:rsidRPr="00E067EE">
        <w:rPr>
          <w:szCs w:val="22"/>
        </w:rPr>
        <w:t>.2024.</w:t>
      </w:r>
    </w:p>
    <w:p w14:paraId="0F1723EE" w14:textId="77777777" w:rsidR="00145FF1" w:rsidRPr="00DE2285" w:rsidRDefault="00145FF1" w:rsidP="00145FF1">
      <w:pPr>
        <w:rPr>
          <w:rFonts w:ascii="Ping LCG Regular" w:hAnsi="Ping LCG Regular"/>
          <w:b/>
          <w:bCs/>
          <w:sz w:val="22"/>
          <w:szCs w:val="22"/>
          <w:highlight w:val="yellow"/>
          <w:lang w:val="el-GR"/>
        </w:rPr>
      </w:pPr>
    </w:p>
    <w:p w14:paraId="05CA183D" w14:textId="2C35EB69" w:rsidR="00145FF1" w:rsidRPr="00704014" w:rsidRDefault="00145FF1" w:rsidP="00145FF1">
      <w:pPr>
        <w:pStyle w:val="DehPressRelease"/>
        <w:jc w:val="both"/>
        <w:rPr>
          <w:b/>
          <w:bCs/>
          <w:szCs w:val="22"/>
        </w:rPr>
      </w:pPr>
      <w:r w:rsidRPr="00704014">
        <w:rPr>
          <w:b/>
          <w:bCs/>
          <w:szCs w:val="22"/>
        </w:rPr>
        <w:t xml:space="preserve">Σχολιάζοντας τα αποτελέσματα, ο </w:t>
      </w:r>
      <w:r w:rsidR="00292A09" w:rsidRPr="00704014">
        <w:rPr>
          <w:b/>
          <w:bCs/>
          <w:szCs w:val="22"/>
        </w:rPr>
        <w:t xml:space="preserve">Γεώργιος Στάσσης, </w:t>
      </w:r>
      <w:r w:rsidRPr="00704014">
        <w:rPr>
          <w:b/>
          <w:bCs/>
          <w:szCs w:val="22"/>
        </w:rPr>
        <w:t>Πρόεδρος και Διευθύνων Σύμβουλος της ΔΕΗ δήλωσε:</w:t>
      </w:r>
    </w:p>
    <w:p w14:paraId="4BFE3FE0" w14:textId="07268954" w:rsidR="00F2746A" w:rsidRPr="008C24A9" w:rsidRDefault="00D31181" w:rsidP="00604392">
      <w:pPr>
        <w:pStyle w:val="DehPressRelease"/>
        <w:jc w:val="both"/>
        <w:rPr>
          <w:i/>
          <w:iCs/>
          <w:szCs w:val="22"/>
        </w:rPr>
      </w:pPr>
      <w:r w:rsidRPr="003432BC">
        <w:rPr>
          <w:i/>
          <w:iCs/>
          <w:szCs w:val="22"/>
        </w:rPr>
        <w:t>“</w:t>
      </w:r>
      <w:r w:rsidR="00AC565C" w:rsidRPr="003432BC">
        <w:rPr>
          <w:i/>
          <w:iCs/>
          <w:szCs w:val="22"/>
        </w:rPr>
        <w:t>Η ΔΕΗ κατέγραψε ισχυρά αποτελέσματα για ένα ακόμη τρίμηνο</w:t>
      </w:r>
      <w:r w:rsidR="00882FD5" w:rsidRPr="003432BC">
        <w:rPr>
          <w:i/>
          <w:iCs/>
          <w:szCs w:val="22"/>
        </w:rPr>
        <w:t>,</w:t>
      </w:r>
      <w:r w:rsidR="00AC565C" w:rsidRPr="003432BC">
        <w:rPr>
          <w:i/>
          <w:iCs/>
          <w:szCs w:val="22"/>
        </w:rPr>
        <w:t xml:space="preserve"> ως αποτέλεσμα της αναπτυξιακής πορείας στην οποία έχει εισέλθει, επιβεβαιώνοντας ότι η κερδοφορία της κινείται </w:t>
      </w:r>
      <w:r w:rsidR="00882FD5">
        <w:rPr>
          <w:i/>
          <w:iCs/>
          <w:szCs w:val="22"/>
        </w:rPr>
        <w:t xml:space="preserve">πλέον </w:t>
      </w:r>
      <w:r w:rsidR="00AC565C" w:rsidRPr="003432BC">
        <w:rPr>
          <w:i/>
          <w:iCs/>
          <w:szCs w:val="22"/>
        </w:rPr>
        <w:t>σε σημαντικά υψηλότερα επίπεδα σε σχέση με το παρελθόν</w:t>
      </w:r>
      <w:r w:rsidR="0073010A">
        <w:rPr>
          <w:i/>
          <w:iCs/>
          <w:szCs w:val="22"/>
        </w:rPr>
        <w:t>, στηρίζοντας παράλληλα τους πελάτες της</w:t>
      </w:r>
      <w:r w:rsidR="00AC565C" w:rsidRPr="003432BC">
        <w:rPr>
          <w:i/>
          <w:iCs/>
          <w:szCs w:val="22"/>
        </w:rPr>
        <w:t xml:space="preserve">. Συνεχίζουμε να </w:t>
      </w:r>
      <w:r w:rsidR="00AF01A0">
        <w:rPr>
          <w:i/>
          <w:iCs/>
          <w:szCs w:val="22"/>
        </w:rPr>
        <w:t xml:space="preserve">υλοποιούμε σημαντικές </w:t>
      </w:r>
      <w:r w:rsidR="00AC565C" w:rsidRPr="003432BC">
        <w:rPr>
          <w:i/>
          <w:iCs/>
          <w:szCs w:val="22"/>
        </w:rPr>
        <w:t xml:space="preserve">επενδύσεις σε Ανανεώσιμες Πηγές Ενέργειας, δίκτυα και στην ψηφιοποίηση των δραστηριοτήτων μας προκειμένου να επιτύχουμε τους στόχους που έχουμε θέσει στο Επιχειρηματικό μας Σχέδιο. Καταφέραμε να </w:t>
      </w:r>
      <w:r w:rsidR="00AF37F7">
        <w:rPr>
          <w:i/>
          <w:iCs/>
          <w:szCs w:val="22"/>
        </w:rPr>
        <w:t>αυξήσουμε την ισχύ τω</w:t>
      </w:r>
      <w:r w:rsidR="00675B76">
        <w:rPr>
          <w:i/>
          <w:iCs/>
          <w:szCs w:val="22"/>
        </w:rPr>
        <w:t xml:space="preserve">ν </w:t>
      </w:r>
      <w:r w:rsidR="00604392">
        <w:rPr>
          <w:i/>
          <w:iCs/>
          <w:szCs w:val="22"/>
        </w:rPr>
        <w:t xml:space="preserve">ώριμων </w:t>
      </w:r>
      <w:r w:rsidR="00675B76">
        <w:rPr>
          <w:i/>
          <w:iCs/>
          <w:szCs w:val="22"/>
        </w:rPr>
        <w:t xml:space="preserve">έργων </w:t>
      </w:r>
      <w:r w:rsidR="004E1620">
        <w:rPr>
          <w:i/>
          <w:iCs/>
          <w:szCs w:val="22"/>
        </w:rPr>
        <w:t xml:space="preserve">ΑΠΕ που έχουμε στο χαρτοφυλάκιο </w:t>
      </w:r>
      <w:r w:rsidR="00604392">
        <w:rPr>
          <w:i/>
          <w:iCs/>
          <w:szCs w:val="22"/>
        </w:rPr>
        <w:t xml:space="preserve">μας </w:t>
      </w:r>
      <w:r w:rsidR="006550B7">
        <w:rPr>
          <w:i/>
          <w:iCs/>
          <w:szCs w:val="22"/>
        </w:rPr>
        <w:t xml:space="preserve">διαθέτοντας πλέον </w:t>
      </w:r>
      <w:r w:rsidR="000F3233">
        <w:rPr>
          <w:i/>
          <w:iCs/>
          <w:szCs w:val="22"/>
        </w:rPr>
        <w:t xml:space="preserve">έργα ισχύος </w:t>
      </w:r>
      <w:r w:rsidR="00AC565C" w:rsidRPr="003432BC">
        <w:rPr>
          <w:i/>
          <w:iCs/>
          <w:szCs w:val="22"/>
        </w:rPr>
        <w:t xml:space="preserve">3,3 </w:t>
      </w:r>
      <w:r w:rsidR="00AC565C" w:rsidRPr="00AC565C">
        <w:rPr>
          <w:i/>
          <w:iCs/>
          <w:szCs w:val="22"/>
          <w:lang w:val="en-US"/>
        </w:rPr>
        <w:t>GW</w:t>
      </w:r>
      <w:r w:rsidR="00AC565C" w:rsidRPr="003432BC">
        <w:rPr>
          <w:i/>
          <w:iCs/>
          <w:szCs w:val="22"/>
        </w:rPr>
        <w:t xml:space="preserve"> υπό κατασκευή ή έτοιμα προς κατασκευή</w:t>
      </w:r>
      <w:r w:rsidR="00AC565C" w:rsidRPr="006A3C60">
        <w:rPr>
          <w:i/>
          <w:iCs/>
          <w:szCs w:val="22"/>
        </w:rPr>
        <w:t xml:space="preserve">, </w:t>
      </w:r>
      <w:r w:rsidR="000F3233" w:rsidRPr="00B50C9B">
        <w:rPr>
          <w:i/>
          <w:iCs/>
          <w:szCs w:val="22"/>
        </w:rPr>
        <w:t xml:space="preserve">το οποίο μας </w:t>
      </w:r>
      <w:r w:rsidR="007D77CF" w:rsidRPr="00B50C9B">
        <w:rPr>
          <w:i/>
          <w:iCs/>
          <w:szCs w:val="22"/>
        </w:rPr>
        <w:t xml:space="preserve">παρέχει την αυτοπεποίθηση </w:t>
      </w:r>
      <w:r w:rsidR="00AC565C" w:rsidRPr="00B50C9B">
        <w:rPr>
          <w:i/>
          <w:iCs/>
          <w:szCs w:val="22"/>
        </w:rPr>
        <w:t>για την επίτευξη του στόχου μας</w:t>
      </w:r>
      <w:r w:rsidR="00AC565C" w:rsidRPr="006A3C60">
        <w:rPr>
          <w:i/>
          <w:iCs/>
          <w:szCs w:val="22"/>
        </w:rPr>
        <w:t xml:space="preserve"> </w:t>
      </w:r>
      <w:r w:rsidR="007D77CF" w:rsidRPr="006A3C60">
        <w:rPr>
          <w:i/>
          <w:iCs/>
          <w:szCs w:val="22"/>
        </w:rPr>
        <w:t xml:space="preserve">για </w:t>
      </w:r>
      <w:r w:rsidR="00D35EF0" w:rsidRPr="006A3C60">
        <w:rPr>
          <w:i/>
          <w:iCs/>
          <w:szCs w:val="22"/>
        </w:rPr>
        <w:t xml:space="preserve">συνολική </w:t>
      </w:r>
      <w:r w:rsidR="007D77CF" w:rsidRPr="006A3C60">
        <w:rPr>
          <w:i/>
          <w:iCs/>
          <w:szCs w:val="22"/>
        </w:rPr>
        <w:t xml:space="preserve">εγκατεστημένη ισχύ 8,9 </w:t>
      </w:r>
      <w:r w:rsidR="007D77CF" w:rsidRPr="006A3C60">
        <w:rPr>
          <w:i/>
          <w:iCs/>
          <w:szCs w:val="22"/>
          <w:lang w:val="en-US"/>
        </w:rPr>
        <w:t>GW</w:t>
      </w:r>
      <w:r w:rsidR="007D77CF" w:rsidRPr="006A3C60">
        <w:rPr>
          <w:i/>
          <w:iCs/>
          <w:szCs w:val="22"/>
        </w:rPr>
        <w:t xml:space="preserve"> σε ΑΠΕ </w:t>
      </w:r>
      <w:r w:rsidR="00AC565C" w:rsidRPr="006A3C60">
        <w:rPr>
          <w:i/>
          <w:iCs/>
          <w:szCs w:val="22"/>
        </w:rPr>
        <w:t>το 2026. Για το σύνολο του έτους, είμαστε</w:t>
      </w:r>
      <w:r w:rsidR="00AC565C" w:rsidRPr="003432BC">
        <w:rPr>
          <w:i/>
          <w:iCs/>
          <w:szCs w:val="22"/>
        </w:rPr>
        <w:t xml:space="preserve"> βέβαιοι ότι θα επιτύχουμε τον στόχο μας για προσαρμοσμένο </w:t>
      </w:r>
      <w:r w:rsidR="00AC565C" w:rsidRPr="00AC565C">
        <w:rPr>
          <w:i/>
          <w:iCs/>
          <w:szCs w:val="22"/>
          <w:lang w:val="en-US"/>
        </w:rPr>
        <w:t>EBITDA</w:t>
      </w:r>
      <w:r w:rsidR="00AC565C" w:rsidRPr="003432BC">
        <w:rPr>
          <w:i/>
          <w:iCs/>
          <w:szCs w:val="22"/>
        </w:rPr>
        <w:t xml:space="preserve"> ύψους €1,8 δισ., </w:t>
      </w:r>
      <w:r w:rsidR="00F2746A">
        <w:rPr>
          <w:i/>
          <w:iCs/>
          <w:szCs w:val="22"/>
        </w:rPr>
        <w:t xml:space="preserve">σε συνέχεια των ισχυρών επιδόσεων </w:t>
      </w:r>
      <w:r w:rsidR="00AC565C" w:rsidRPr="003432BC">
        <w:rPr>
          <w:i/>
          <w:iCs/>
          <w:szCs w:val="22"/>
        </w:rPr>
        <w:t>του</w:t>
      </w:r>
      <w:r w:rsidR="00F2746A">
        <w:rPr>
          <w:i/>
          <w:iCs/>
          <w:szCs w:val="22"/>
        </w:rPr>
        <w:t xml:space="preserve"> α΄</w:t>
      </w:r>
      <w:r w:rsidR="00AC565C" w:rsidRPr="003432BC">
        <w:rPr>
          <w:i/>
          <w:iCs/>
          <w:szCs w:val="22"/>
        </w:rPr>
        <w:t xml:space="preserve"> εξαμήνου και τη</w:t>
      </w:r>
      <w:r w:rsidR="00F2746A">
        <w:rPr>
          <w:i/>
          <w:iCs/>
          <w:szCs w:val="22"/>
        </w:rPr>
        <w:t>ς</w:t>
      </w:r>
      <w:r w:rsidR="00AC565C" w:rsidRPr="003432BC">
        <w:rPr>
          <w:i/>
          <w:iCs/>
          <w:szCs w:val="22"/>
        </w:rPr>
        <w:t xml:space="preserve"> ανθεκτικότητα</w:t>
      </w:r>
      <w:r w:rsidR="00F2746A">
        <w:rPr>
          <w:i/>
          <w:iCs/>
          <w:szCs w:val="22"/>
        </w:rPr>
        <w:t>ς</w:t>
      </w:r>
      <w:r w:rsidR="00AC565C" w:rsidRPr="003432BC">
        <w:rPr>
          <w:i/>
          <w:iCs/>
          <w:szCs w:val="22"/>
        </w:rPr>
        <w:t xml:space="preserve"> του </w:t>
      </w:r>
      <w:r w:rsidR="00F2746A" w:rsidRPr="00F2746A">
        <w:rPr>
          <w:i/>
          <w:iCs/>
          <w:szCs w:val="22"/>
        </w:rPr>
        <w:t>επιχειρηματικ</w:t>
      </w:r>
      <w:r w:rsidR="00F2746A">
        <w:rPr>
          <w:i/>
          <w:iCs/>
          <w:szCs w:val="22"/>
        </w:rPr>
        <w:t>ού</w:t>
      </w:r>
      <w:r w:rsidR="00F2746A" w:rsidRPr="00F2746A">
        <w:rPr>
          <w:i/>
          <w:iCs/>
          <w:szCs w:val="22"/>
        </w:rPr>
        <w:t xml:space="preserve"> μας μοντέλο</w:t>
      </w:r>
      <w:r w:rsidR="00F2746A">
        <w:rPr>
          <w:i/>
          <w:iCs/>
          <w:szCs w:val="22"/>
        </w:rPr>
        <w:t>υ</w:t>
      </w:r>
      <w:r w:rsidR="00F2746A" w:rsidRPr="00F2746A">
        <w:rPr>
          <w:i/>
          <w:iCs/>
          <w:szCs w:val="22"/>
        </w:rPr>
        <w:t xml:space="preserve"> με παρουσία στην παραγωγή αλλά και την διάθεση ηλεκτρικής ενέργειας</w:t>
      </w:r>
      <w:r w:rsidR="00F2746A" w:rsidRPr="003432BC">
        <w:rPr>
          <w:i/>
          <w:iCs/>
          <w:szCs w:val="22"/>
        </w:rPr>
        <w:t xml:space="preserve">” </w:t>
      </w:r>
      <w:r w:rsidR="008C24A9" w:rsidRPr="00B50C9B">
        <w:rPr>
          <w:i/>
          <w:iCs/>
          <w:szCs w:val="22"/>
        </w:rPr>
        <w:t xml:space="preserve"> </w:t>
      </w:r>
    </w:p>
    <w:p w14:paraId="4FACAA81" w14:textId="77777777" w:rsidR="001E7DE5" w:rsidRPr="00AB40BE" w:rsidRDefault="001E7DE5" w:rsidP="00145FF1">
      <w:pPr>
        <w:jc w:val="both"/>
        <w:rPr>
          <w:rFonts w:ascii="Ping LCG Regular" w:hAnsi="Ping LCG Regular"/>
          <w:sz w:val="22"/>
          <w:szCs w:val="22"/>
          <w:highlight w:val="yellow"/>
          <w:lang w:val="el-GR"/>
        </w:rPr>
      </w:pPr>
    </w:p>
    <w:p w14:paraId="7EABADB5" w14:textId="77777777" w:rsidR="00145FF1" w:rsidRPr="00AB40BE" w:rsidRDefault="00145FF1" w:rsidP="00145FF1">
      <w:pPr>
        <w:jc w:val="both"/>
        <w:rPr>
          <w:rFonts w:ascii="Ping LCG Regular" w:hAnsi="Ping LCG Regular"/>
          <w:sz w:val="22"/>
          <w:szCs w:val="22"/>
          <w:highlight w:val="yellow"/>
          <w:lang w:val="el-GR"/>
        </w:rPr>
      </w:pPr>
    </w:p>
    <w:p w14:paraId="1B33EE78" w14:textId="77777777" w:rsidR="00145FF1" w:rsidRPr="00F31D81" w:rsidRDefault="00145FF1" w:rsidP="00145FF1">
      <w:pPr>
        <w:pStyle w:val="DehPressRelease"/>
        <w:rPr>
          <w:b/>
          <w:bCs/>
          <w:szCs w:val="22"/>
        </w:rPr>
      </w:pPr>
      <w:r w:rsidRPr="00F31D81">
        <w:rPr>
          <w:b/>
          <w:bCs/>
          <w:szCs w:val="22"/>
        </w:rPr>
        <w:t xml:space="preserve">Δραστηριότητα Εμπορίας </w:t>
      </w:r>
    </w:p>
    <w:p w14:paraId="325032DC" w14:textId="192C4159" w:rsidR="00145FF1" w:rsidRPr="00F31D81" w:rsidRDefault="00145FF1" w:rsidP="00145FF1">
      <w:pPr>
        <w:pStyle w:val="DehPressRelease"/>
        <w:spacing w:after="0"/>
        <w:jc w:val="both"/>
        <w:rPr>
          <w:szCs w:val="22"/>
        </w:rPr>
      </w:pPr>
      <w:r w:rsidRPr="00F31D81">
        <w:rPr>
          <w:szCs w:val="22"/>
        </w:rPr>
        <w:t xml:space="preserve">Η ζήτηση ηλεκτρικής ενέργειας στην Ελλάδα </w:t>
      </w:r>
      <w:r w:rsidRPr="00320209">
        <w:rPr>
          <w:szCs w:val="22"/>
        </w:rPr>
        <w:t>αυξήθηκε</w:t>
      </w:r>
      <w:r w:rsidR="004167DB" w:rsidRPr="00320209">
        <w:rPr>
          <w:szCs w:val="22"/>
        </w:rPr>
        <w:t xml:space="preserve"> κατά</w:t>
      </w:r>
      <w:r w:rsidR="000D35B3" w:rsidRPr="00320209">
        <w:rPr>
          <w:szCs w:val="22"/>
        </w:rPr>
        <w:t xml:space="preserve"> </w:t>
      </w:r>
      <w:r w:rsidR="005D36B6" w:rsidRPr="006F72BA">
        <w:rPr>
          <w:szCs w:val="22"/>
        </w:rPr>
        <w:t>6</w:t>
      </w:r>
      <w:r w:rsidR="000D35B3" w:rsidRPr="006F72BA">
        <w:rPr>
          <w:szCs w:val="22"/>
        </w:rPr>
        <w:t>%</w:t>
      </w:r>
      <w:r w:rsidR="0087476E">
        <w:rPr>
          <w:rStyle w:val="ae"/>
          <w:szCs w:val="22"/>
        </w:rPr>
        <w:footnoteReference w:id="5"/>
      </w:r>
      <w:r w:rsidRPr="00320209">
        <w:rPr>
          <w:szCs w:val="22"/>
        </w:rPr>
        <w:t xml:space="preserve"> το</w:t>
      </w:r>
      <w:r w:rsidRPr="00F31D81">
        <w:rPr>
          <w:szCs w:val="22"/>
        </w:rPr>
        <w:t xml:space="preserve"> </w:t>
      </w:r>
      <w:r w:rsidR="00E256B7" w:rsidRPr="00F31D81">
        <w:rPr>
          <w:szCs w:val="22"/>
        </w:rPr>
        <w:t>α</w:t>
      </w:r>
      <w:r w:rsidRPr="00F31D81">
        <w:rPr>
          <w:szCs w:val="22"/>
        </w:rPr>
        <w:t xml:space="preserve">’ </w:t>
      </w:r>
      <w:r w:rsidR="004F268D">
        <w:rPr>
          <w:szCs w:val="22"/>
        </w:rPr>
        <w:t>εξάμηνο</w:t>
      </w:r>
      <w:r w:rsidRPr="00F31D81">
        <w:rPr>
          <w:szCs w:val="22"/>
        </w:rPr>
        <w:t xml:space="preserve"> 202</w:t>
      </w:r>
      <w:r w:rsidR="00E256B7" w:rsidRPr="00F31D81">
        <w:rPr>
          <w:szCs w:val="22"/>
        </w:rPr>
        <w:t>4</w:t>
      </w:r>
      <w:r w:rsidR="00A6446B" w:rsidRPr="00F31D81">
        <w:rPr>
          <w:szCs w:val="22"/>
        </w:rPr>
        <w:t>,</w:t>
      </w:r>
      <w:r w:rsidRPr="00F31D81">
        <w:rPr>
          <w:szCs w:val="22"/>
        </w:rPr>
        <w:t xml:space="preserve"> σε σχέση με την αντίστοιχη περίοδο του 202</w:t>
      </w:r>
      <w:r w:rsidR="00E256B7" w:rsidRPr="00F31D81">
        <w:rPr>
          <w:szCs w:val="22"/>
        </w:rPr>
        <w:t>3</w:t>
      </w:r>
      <w:r w:rsidR="00981A40">
        <w:rPr>
          <w:szCs w:val="22"/>
        </w:rPr>
        <w:t xml:space="preserve"> </w:t>
      </w:r>
      <w:r w:rsidR="000D73E1">
        <w:rPr>
          <w:szCs w:val="22"/>
        </w:rPr>
        <w:t xml:space="preserve">κυρίως </w:t>
      </w:r>
      <w:r w:rsidR="004F268D" w:rsidRPr="00B50C9B">
        <w:rPr>
          <w:szCs w:val="22"/>
        </w:rPr>
        <w:t xml:space="preserve">λόγω </w:t>
      </w:r>
      <w:r w:rsidR="00E12A5B" w:rsidRPr="00B50C9B">
        <w:rPr>
          <w:szCs w:val="22"/>
        </w:rPr>
        <w:t xml:space="preserve">των θερμότερων καιρικών </w:t>
      </w:r>
      <w:r w:rsidR="00E12A5B" w:rsidRPr="00E12A5B">
        <w:rPr>
          <w:szCs w:val="22"/>
        </w:rPr>
        <w:t>συνθηκών</w:t>
      </w:r>
      <w:r w:rsidR="00E12A5B" w:rsidRPr="00B50C9B">
        <w:rPr>
          <w:szCs w:val="22"/>
        </w:rPr>
        <w:t>, ειδικά τον Ιούνιο του 2024.</w:t>
      </w:r>
      <w:r w:rsidRPr="006A3C60">
        <w:rPr>
          <w:szCs w:val="22"/>
        </w:rPr>
        <w:t xml:space="preserve"> Στην Ρουμανία, η ζήτηση ηλεκτρικής ενέργειας </w:t>
      </w:r>
      <w:r w:rsidR="00DC32B4" w:rsidRPr="006A3C60">
        <w:rPr>
          <w:szCs w:val="22"/>
        </w:rPr>
        <w:t xml:space="preserve">αυξήθηκε κατά </w:t>
      </w:r>
      <w:r w:rsidR="004F268D" w:rsidRPr="00B50C9B">
        <w:rPr>
          <w:szCs w:val="22"/>
        </w:rPr>
        <w:t>0</w:t>
      </w:r>
      <w:r w:rsidR="00CD078D" w:rsidRPr="00B50C9B">
        <w:rPr>
          <w:szCs w:val="22"/>
        </w:rPr>
        <w:t>,9</w:t>
      </w:r>
      <w:r w:rsidR="00DC32B4" w:rsidRPr="00B50C9B">
        <w:rPr>
          <w:szCs w:val="22"/>
        </w:rPr>
        <w:t>%</w:t>
      </w:r>
      <w:r w:rsidR="00DC32B4" w:rsidRPr="00F31D81">
        <w:rPr>
          <w:szCs w:val="22"/>
        </w:rPr>
        <w:t xml:space="preserve"> το α’</w:t>
      </w:r>
      <w:r w:rsidR="007C0828" w:rsidRPr="00F31D81">
        <w:rPr>
          <w:szCs w:val="22"/>
        </w:rPr>
        <w:t xml:space="preserve"> </w:t>
      </w:r>
      <w:r w:rsidR="004F268D">
        <w:rPr>
          <w:szCs w:val="22"/>
        </w:rPr>
        <w:t>εξάμηνο</w:t>
      </w:r>
      <w:r w:rsidR="007C0828" w:rsidRPr="00F31D81">
        <w:rPr>
          <w:szCs w:val="22"/>
        </w:rPr>
        <w:t xml:space="preserve"> 2024</w:t>
      </w:r>
      <w:r w:rsidR="00467C62">
        <w:rPr>
          <w:rStyle w:val="ae"/>
          <w:szCs w:val="22"/>
        </w:rPr>
        <w:footnoteReference w:id="6"/>
      </w:r>
      <w:r w:rsidR="007C0828" w:rsidRPr="00F31D81">
        <w:rPr>
          <w:szCs w:val="22"/>
        </w:rPr>
        <w:t xml:space="preserve"> </w:t>
      </w:r>
      <w:r w:rsidR="00C47A2B">
        <w:rPr>
          <w:szCs w:val="22"/>
        </w:rPr>
        <w:t>σε σύγκριση με την αντίστοιχη περίοδο</w:t>
      </w:r>
      <w:r w:rsidR="006970D1" w:rsidRPr="00F31D81">
        <w:rPr>
          <w:szCs w:val="22"/>
        </w:rPr>
        <w:t xml:space="preserve"> το 2023.</w:t>
      </w:r>
      <w:r w:rsidR="00623688">
        <w:rPr>
          <w:szCs w:val="22"/>
        </w:rPr>
        <w:t xml:space="preserve"> </w:t>
      </w:r>
    </w:p>
    <w:p w14:paraId="49BBDD6A" w14:textId="77777777" w:rsidR="00145FF1" w:rsidRPr="00DE2285" w:rsidRDefault="00145FF1" w:rsidP="00145FF1">
      <w:pPr>
        <w:pStyle w:val="DehPressRelease"/>
        <w:spacing w:after="0"/>
        <w:jc w:val="both"/>
        <w:rPr>
          <w:szCs w:val="22"/>
          <w:highlight w:val="yellow"/>
        </w:rPr>
      </w:pPr>
    </w:p>
    <w:p w14:paraId="7E503585" w14:textId="6F95A01C" w:rsidR="00FF580E" w:rsidRDefault="00145FF1" w:rsidP="00704014">
      <w:pPr>
        <w:pStyle w:val="DehPressRelease"/>
        <w:spacing w:after="240"/>
        <w:jc w:val="both"/>
      </w:pPr>
      <w:r w:rsidRPr="0085703D">
        <w:rPr>
          <w:szCs w:val="22"/>
        </w:rPr>
        <w:t>Το</w:t>
      </w:r>
      <w:r w:rsidRPr="00B86066">
        <w:rPr>
          <w:szCs w:val="22"/>
        </w:rPr>
        <w:t xml:space="preserve"> </w:t>
      </w:r>
      <w:r w:rsidRPr="0085703D">
        <w:rPr>
          <w:szCs w:val="22"/>
        </w:rPr>
        <w:t>μέσο</w:t>
      </w:r>
      <w:r w:rsidRPr="00B86066">
        <w:rPr>
          <w:szCs w:val="22"/>
        </w:rPr>
        <w:t xml:space="preserve"> </w:t>
      </w:r>
      <w:r w:rsidRPr="0085703D">
        <w:rPr>
          <w:szCs w:val="22"/>
        </w:rPr>
        <w:t>μερίδιο</w:t>
      </w:r>
      <w:r w:rsidRPr="00B86066">
        <w:rPr>
          <w:szCs w:val="22"/>
        </w:rPr>
        <w:t xml:space="preserve"> </w:t>
      </w:r>
      <w:r w:rsidRPr="0085703D">
        <w:rPr>
          <w:szCs w:val="22"/>
        </w:rPr>
        <w:t>της</w:t>
      </w:r>
      <w:r w:rsidRPr="00B86066">
        <w:rPr>
          <w:szCs w:val="22"/>
        </w:rPr>
        <w:t xml:space="preserve"> </w:t>
      </w:r>
      <w:r w:rsidRPr="0085703D">
        <w:rPr>
          <w:szCs w:val="22"/>
        </w:rPr>
        <w:t>ΔΕΗ</w:t>
      </w:r>
      <w:r w:rsidRPr="00B86066">
        <w:rPr>
          <w:szCs w:val="22"/>
        </w:rPr>
        <w:t xml:space="preserve"> </w:t>
      </w:r>
      <w:r w:rsidRPr="0085703D">
        <w:rPr>
          <w:szCs w:val="22"/>
        </w:rPr>
        <w:t>στην</w:t>
      </w:r>
      <w:r w:rsidRPr="00B86066">
        <w:rPr>
          <w:szCs w:val="22"/>
        </w:rPr>
        <w:t xml:space="preserve"> </w:t>
      </w:r>
      <w:r w:rsidRPr="0085703D">
        <w:rPr>
          <w:szCs w:val="22"/>
        </w:rPr>
        <w:t>αγορά</w:t>
      </w:r>
      <w:r w:rsidRPr="00B86066">
        <w:rPr>
          <w:szCs w:val="22"/>
        </w:rPr>
        <w:t xml:space="preserve"> </w:t>
      </w:r>
      <w:r w:rsidRPr="0085703D">
        <w:rPr>
          <w:szCs w:val="22"/>
        </w:rPr>
        <w:t>προμήθειας</w:t>
      </w:r>
      <w:r w:rsidRPr="00B86066">
        <w:rPr>
          <w:szCs w:val="22"/>
        </w:rPr>
        <w:t xml:space="preserve"> </w:t>
      </w:r>
      <w:r w:rsidRPr="0085703D">
        <w:rPr>
          <w:szCs w:val="22"/>
        </w:rPr>
        <w:t>στην</w:t>
      </w:r>
      <w:r w:rsidRPr="00B86066">
        <w:rPr>
          <w:szCs w:val="22"/>
        </w:rPr>
        <w:t xml:space="preserve"> </w:t>
      </w:r>
      <w:r w:rsidRPr="0085703D">
        <w:rPr>
          <w:szCs w:val="22"/>
        </w:rPr>
        <w:t>Ελλάδα</w:t>
      </w:r>
      <w:r w:rsidRPr="00B86066">
        <w:rPr>
          <w:szCs w:val="22"/>
        </w:rPr>
        <w:t xml:space="preserve"> </w:t>
      </w:r>
      <w:r w:rsidRPr="0085703D">
        <w:rPr>
          <w:szCs w:val="22"/>
        </w:rPr>
        <w:t>μειώθηκε</w:t>
      </w:r>
      <w:r w:rsidRPr="00B86066">
        <w:rPr>
          <w:szCs w:val="22"/>
        </w:rPr>
        <w:t xml:space="preserve"> </w:t>
      </w:r>
      <w:r w:rsidR="00AB448E">
        <w:rPr>
          <w:szCs w:val="22"/>
        </w:rPr>
        <w:t>στο</w:t>
      </w:r>
      <w:r w:rsidR="00AB448E" w:rsidRPr="00B86066">
        <w:rPr>
          <w:szCs w:val="22"/>
        </w:rPr>
        <w:t xml:space="preserve"> </w:t>
      </w:r>
      <w:r w:rsidRPr="00B86066">
        <w:rPr>
          <w:szCs w:val="22"/>
        </w:rPr>
        <w:t>5</w:t>
      </w:r>
      <w:r w:rsidR="007B5334">
        <w:rPr>
          <w:szCs w:val="22"/>
        </w:rPr>
        <w:t>0</w:t>
      </w:r>
      <w:r w:rsidRPr="00B86066">
        <w:rPr>
          <w:szCs w:val="22"/>
        </w:rPr>
        <w:t xml:space="preserve">% </w:t>
      </w:r>
      <w:r w:rsidRPr="0085703D">
        <w:rPr>
          <w:szCs w:val="22"/>
        </w:rPr>
        <w:t>το</w:t>
      </w:r>
      <w:r w:rsidR="007C1492" w:rsidRPr="00B86066">
        <w:rPr>
          <w:szCs w:val="22"/>
        </w:rPr>
        <w:t xml:space="preserve"> </w:t>
      </w:r>
      <w:r w:rsidR="007C1492" w:rsidRPr="0085703D">
        <w:rPr>
          <w:szCs w:val="22"/>
        </w:rPr>
        <w:t>α</w:t>
      </w:r>
      <w:r w:rsidR="007C1492" w:rsidRPr="00B86066">
        <w:rPr>
          <w:szCs w:val="22"/>
        </w:rPr>
        <w:t xml:space="preserve">’ </w:t>
      </w:r>
      <w:r w:rsidR="007B5334">
        <w:rPr>
          <w:szCs w:val="22"/>
        </w:rPr>
        <w:t>εξάμηνο</w:t>
      </w:r>
      <w:r w:rsidRPr="00B86066">
        <w:rPr>
          <w:szCs w:val="22"/>
        </w:rPr>
        <w:t xml:space="preserve"> 202</w:t>
      </w:r>
      <w:r w:rsidR="007C1492" w:rsidRPr="00B86066">
        <w:rPr>
          <w:szCs w:val="22"/>
        </w:rPr>
        <w:t>4</w:t>
      </w:r>
      <w:r w:rsidRPr="00B86066">
        <w:rPr>
          <w:szCs w:val="22"/>
        </w:rPr>
        <w:t xml:space="preserve"> </w:t>
      </w:r>
      <w:r w:rsidRPr="006F72BA">
        <w:rPr>
          <w:szCs w:val="22"/>
        </w:rPr>
        <w:t xml:space="preserve">από </w:t>
      </w:r>
      <w:r w:rsidR="00145F4B" w:rsidRPr="006F72BA">
        <w:rPr>
          <w:szCs w:val="22"/>
        </w:rPr>
        <w:t>58%</w:t>
      </w:r>
      <w:r w:rsidRPr="006F72BA">
        <w:rPr>
          <w:szCs w:val="22"/>
        </w:rPr>
        <w:t xml:space="preserve"> το</w:t>
      </w:r>
      <w:r w:rsidR="007C1492" w:rsidRPr="006F72BA">
        <w:rPr>
          <w:szCs w:val="22"/>
        </w:rPr>
        <w:t xml:space="preserve"> α’ </w:t>
      </w:r>
      <w:r w:rsidR="0083365C" w:rsidRPr="006F72BA">
        <w:rPr>
          <w:szCs w:val="22"/>
        </w:rPr>
        <w:t>εξάμηνο</w:t>
      </w:r>
      <w:r w:rsidRPr="006F72BA">
        <w:rPr>
          <w:szCs w:val="22"/>
        </w:rPr>
        <w:t xml:space="preserve"> 202</w:t>
      </w:r>
      <w:r w:rsidR="007C1492" w:rsidRPr="006F72BA">
        <w:rPr>
          <w:szCs w:val="22"/>
        </w:rPr>
        <w:t>3</w:t>
      </w:r>
      <w:r w:rsidR="009528C9" w:rsidRPr="00FD4278">
        <w:rPr>
          <w:szCs w:val="22"/>
        </w:rPr>
        <w:t xml:space="preserve">, </w:t>
      </w:r>
      <w:r w:rsidR="00B86066" w:rsidRPr="00FD4278">
        <w:rPr>
          <w:szCs w:val="22"/>
        </w:rPr>
        <w:t>κυρίω</w:t>
      </w:r>
      <w:r w:rsidR="00B86066" w:rsidRPr="00885CD0">
        <w:rPr>
          <w:szCs w:val="22"/>
        </w:rPr>
        <w:t xml:space="preserve">ς λόγω της μείωσης </w:t>
      </w:r>
      <w:r w:rsidR="00AE5275" w:rsidRPr="00885CD0">
        <w:rPr>
          <w:szCs w:val="22"/>
        </w:rPr>
        <w:t>του μεριδίου στους πελάτες Υψηλής</w:t>
      </w:r>
      <w:r w:rsidR="009C628B" w:rsidRPr="00885CD0">
        <w:rPr>
          <w:szCs w:val="22"/>
        </w:rPr>
        <w:t xml:space="preserve"> Τάσης</w:t>
      </w:r>
      <w:r w:rsidR="00DE16BB" w:rsidRPr="00885CD0">
        <w:rPr>
          <w:szCs w:val="22"/>
        </w:rPr>
        <w:t xml:space="preserve"> </w:t>
      </w:r>
      <w:r w:rsidR="00BA1074">
        <w:rPr>
          <w:szCs w:val="22"/>
        </w:rPr>
        <w:t xml:space="preserve">σε συνέχεια της </w:t>
      </w:r>
      <w:r w:rsidR="00180910">
        <w:rPr>
          <w:szCs w:val="22"/>
        </w:rPr>
        <w:t>λήξη</w:t>
      </w:r>
      <w:r w:rsidR="00BA1074">
        <w:rPr>
          <w:szCs w:val="22"/>
        </w:rPr>
        <w:t>ς</w:t>
      </w:r>
      <w:r w:rsidR="00180910">
        <w:rPr>
          <w:szCs w:val="22"/>
        </w:rPr>
        <w:t xml:space="preserve"> τω</w:t>
      </w:r>
      <w:r w:rsidR="00885CD0" w:rsidRPr="00885CD0">
        <w:rPr>
          <w:szCs w:val="22"/>
        </w:rPr>
        <w:t>ν</w:t>
      </w:r>
      <w:r w:rsidR="00AE5275" w:rsidRPr="00885CD0">
        <w:rPr>
          <w:szCs w:val="22"/>
        </w:rPr>
        <w:t xml:space="preserve"> </w:t>
      </w:r>
      <w:r w:rsidR="00502FE1">
        <w:rPr>
          <w:szCs w:val="22"/>
        </w:rPr>
        <w:t xml:space="preserve">προϋπαρχόντων </w:t>
      </w:r>
      <w:r w:rsidR="00134259">
        <w:rPr>
          <w:szCs w:val="22"/>
        </w:rPr>
        <w:t>σταθερών τιμολογίων</w:t>
      </w:r>
      <w:r w:rsidRPr="002C361E">
        <w:rPr>
          <w:szCs w:val="22"/>
        </w:rPr>
        <w:t xml:space="preserve">. Στο </w:t>
      </w:r>
      <w:r w:rsidRPr="00714B60">
        <w:rPr>
          <w:szCs w:val="22"/>
        </w:rPr>
        <w:t>Διασυνδεδεμένο Σύστημα, το αντίστοιχο μέγεθος μειώθηκε σε 5</w:t>
      </w:r>
      <w:r w:rsidR="00DA0AAB">
        <w:rPr>
          <w:szCs w:val="22"/>
        </w:rPr>
        <w:t>3</w:t>
      </w:r>
      <w:r w:rsidRPr="00714B60">
        <w:rPr>
          <w:szCs w:val="22"/>
        </w:rPr>
        <w:t xml:space="preserve">% τον </w:t>
      </w:r>
      <w:r w:rsidR="00DA0AAB">
        <w:rPr>
          <w:szCs w:val="22"/>
        </w:rPr>
        <w:t>Ιούνιο</w:t>
      </w:r>
      <w:r w:rsidRPr="00714B60">
        <w:rPr>
          <w:szCs w:val="22"/>
        </w:rPr>
        <w:t xml:space="preserve"> 202</w:t>
      </w:r>
      <w:r w:rsidR="00A544AF" w:rsidRPr="00714B60">
        <w:rPr>
          <w:szCs w:val="22"/>
        </w:rPr>
        <w:t>4</w:t>
      </w:r>
      <w:r w:rsidRPr="00714B60">
        <w:rPr>
          <w:szCs w:val="22"/>
        </w:rPr>
        <w:t xml:space="preserve"> (από </w:t>
      </w:r>
      <w:r w:rsidR="004A417C">
        <w:rPr>
          <w:szCs w:val="22"/>
        </w:rPr>
        <w:t>55</w:t>
      </w:r>
      <w:r w:rsidRPr="00714B60">
        <w:rPr>
          <w:szCs w:val="22"/>
        </w:rPr>
        <w:t xml:space="preserve">% τον </w:t>
      </w:r>
      <w:r w:rsidR="004A417C">
        <w:rPr>
          <w:szCs w:val="22"/>
        </w:rPr>
        <w:t>Ιούνιο</w:t>
      </w:r>
      <w:r w:rsidRPr="00714B60">
        <w:rPr>
          <w:szCs w:val="22"/>
        </w:rPr>
        <w:t xml:space="preserve"> 202</w:t>
      </w:r>
      <w:r w:rsidR="00EF7DB0" w:rsidRPr="00714B60">
        <w:rPr>
          <w:szCs w:val="22"/>
        </w:rPr>
        <w:t>3</w:t>
      </w:r>
      <w:r w:rsidRPr="00714B60">
        <w:rPr>
          <w:szCs w:val="22"/>
        </w:rPr>
        <w:t xml:space="preserve">), ενώ το μέσο μερίδιο ανά τάση, ήταν </w:t>
      </w:r>
      <w:r w:rsidR="00994851">
        <w:rPr>
          <w:szCs w:val="22"/>
        </w:rPr>
        <w:t>18</w:t>
      </w:r>
      <w:r w:rsidRPr="00714B60">
        <w:rPr>
          <w:szCs w:val="22"/>
        </w:rPr>
        <w:t xml:space="preserve">% (από </w:t>
      </w:r>
      <w:r w:rsidR="00994851">
        <w:rPr>
          <w:szCs w:val="22"/>
        </w:rPr>
        <w:t>5</w:t>
      </w:r>
      <w:r w:rsidR="003440C8" w:rsidRPr="00714B60">
        <w:rPr>
          <w:szCs w:val="22"/>
        </w:rPr>
        <w:t>4</w:t>
      </w:r>
      <w:r w:rsidRPr="00714B60">
        <w:rPr>
          <w:szCs w:val="22"/>
        </w:rPr>
        <w:t xml:space="preserve">%) στην Υψηλή Τάση, </w:t>
      </w:r>
      <w:r w:rsidR="00994851">
        <w:rPr>
          <w:szCs w:val="22"/>
        </w:rPr>
        <w:t>40</w:t>
      </w:r>
      <w:r w:rsidRPr="00714B60">
        <w:rPr>
          <w:szCs w:val="22"/>
        </w:rPr>
        <w:t xml:space="preserve">% (από </w:t>
      </w:r>
      <w:r w:rsidR="00BF6774" w:rsidRPr="00714B60">
        <w:rPr>
          <w:szCs w:val="22"/>
        </w:rPr>
        <w:t>3</w:t>
      </w:r>
      <w:r w:rsidR="000D6F54" w:rsidRPr="00714B60">
        <w:rPr>
          <w:szCs w:val="22"/>
        </w:rPr>
        <w:t>4</w:t>
      </w:r>
      <w:r w:rsidRPr="00714B60">
        <w:rPr>
          <w:szCs w:val="22"/>
        </w:rPr>
        <w:t xml:space="preserve">%) στη Μέση </w:t>
      </w:r>
      <w:r w:rsidRPr="00714B60">
        <w:rPr>
          <w:szCs w:val="22"/>
        </w:rPr>
        <w:lastRenderedPageBreak/>
        <w:t>Τάση και 63% (από 6</w:t>
      </w:r>
      <w:r w:rsidR="009A2062">
        <w:rPr>
          <w:szCs w:val="22"/>
        </w:rPr>
        <w:t>4</w:t>
      </w:r>
      <w:r w:rsidRPr="00714B60">
        <w:rPr>
          <w:szCs w:val="22"/>
        </w:rPr>
        <w:t>%) στη Χαμηλή Τάση</w:t>
      </w:r>
      <w:r w:rsidRPr="00714B60">
        <w:rPr>
          <w:szCs w:val="22"/>
          <w:vertAlign w:val="superscript"/>
        </w:rPr>
        <w:footnoteReference w:id="7"/>
      </w:r>
      <w:r w:rsidRPr="00714B60">
        <w:rPr>
          <w:szCs w:val="22"/>
        </w:rPr>
        <w:t xml:space="preserve">. Στη Ρουμανία, το μέσο μερίδιο της ΔΕΗ στις πωλήσεις ηλεκτρικής ενέργειας διαμορφώθηκε </w:t>
      </w:r>
      <w:r w:rsidR="006138BC">
        <w:rPr>
          <w:szCs w:val="22"/>
        </w:rPr>
        <w:t>στο</w:t>
      </w:r>
      <w:r w:rsidR="006138BC" w:rsidRPr="00714B60">
        <w:rPr>
          <w:szCs w:val="22"/>
        </w:rPr>
        <w:t xml:space="preserve"> </w:t>
      </w:r>
      <w:r w:rsidRPr="00714B60">
        <w:rPr>
          <w:szCs w:val="22"/>
        </w:rPr>
        <w:t>1</w:t>
      </w:r>
      <w:r w:rsidR="009A2062">
        <w:rPr>
          <w:szCs w:val="22"/>
        </w:rPr>
        <w:t>5</w:t>
      </w:r>
      <w:r w:rsidRPr="00714B60">
        <w:rPr>
          <w:szCs w:val="22"/>
        </w:rPr>
        <w:t>%</w:t>
      </w:r>
      <w:r w:rsidR="00714B60" w:rsidRPr="00714B60">
        <w:rPr>
          <w:vertAlign w:val="superscript"/>
        </w:rPr>
        <w:footnoteReference w:id="8"/>
      </w:r>
      <w:r w:rsidR="00714B60" w:rsidRPr="00714B60">
        <w:rPr>
          <w:szCs w:val="22"/>
        </w:rPr>
        <w:t>.</w:t>
      </w:r>
    </w:p>
    <w:p w14:paraId="77B5FF14" w14:textId="2289A2B8" w:rsidR="00B72A1D" w:rsidRDefault="00B72A1D">
      <w:pPr>
        <w:rPr>
          <w:rFonts w:ascii="Ping LCG Regular" w:hAnsi="Ping LCG Regular"/>
          <w:b/>
          <w:bCs/>
          <w:sz w:val="22"/>
          <w:szCs w:val="22"/>
          <w:lang w:val="el-GR"/>
        </w:rPr>
      </w:pPr>
    </w:p>
    <w:p w14:paraId="11879C4B" w14:textId="5614D180" w:rsidR="00145FF1" w:rsidRPr="00551CCA" w:rsidRDefault="00145FF1" w:rsidP="00145FF1">
      <w:pPr>
        <w:pStyle w:val="DehPressRelease"/>
        <w:spacing w:line="240" w:lineRule="auto"/>
        <w:jc w:val="both"/>
        <w:rPr>
          <w:b/>
          <w:bCs/>
          <w:szCs w:val="22"/>
        </w:rPr>
      </w:pPr>
      <w:r w:rsidRPr="00551CCA">
        <w:rPr>
          <w:b/>
          <w:bCs/>
          <w:szCs w:val="22"/>
        </w:rPr>
        <w:t>Δραστηριότητα Παραγωγής</w:t>
      </w:r>
    </w:p>
    <w:p w14:paraId="1A839575" w14:textId="5A2C3D51" w:rsidR="00145FF1" w:rsidRPr="00B74786" w:rsidRDefault="00145FF1" w:rsidP="00145FF1">
      <w:pPr>
        <w:pStyle w:val="DehPressRelease"/>
        <w:jc w:val="both"/>
        <w:rPr>
          <w:szCs w:val="22"/>
        </w:rPr>
      </w:pPr>
      <w:r w:rsidRPr="00B74786">
        <w:rPr>
          <w:szCs w:val="22"/>
        </w:rPr>
        <w:t>Στην παραγωγή ηλεκτρικής ενέργειας, το μέσο μερίδιο της ΔΕΗ στην Ελλάδα μειώθηκε σε 3</w:t>
      </w:r>
      <w:r w:rsidR="00516A93" w:rsidRPr="00B74786">
        <w:rPr>
          <w:szCs w:val="22"/>
        </w:rPr>
        <w:t>3</w:t>
      </w:r>
      <w:r w:rsidRPr="00B74786">
        <w:rPr>
          <w:szCs w:val="22"/>
        </w:rPr>
        <w:t>% το</w:t>
      </w:r>
      <w:r w:rsidR="00516A93" w:rsidRPr="00B74786">
        <w:rPr>
          <w:szCs w:val="22"/>
        </w:rPr>
        <w:t xml:space="preserve"> α’ </w:t>
      </w:r>
      <w:r w:rsidR="004B22AF">
        <w:rPr>
          <w:szCs w:val="22"/>
        </w:rPr>
        <w:t>εξάμηνο</w:t>
      </w:r>
      <w:r w:rsidRPr="00B74786">
        <w:rPr>
          <w:szCs w:val="22"/>
        </w:rPr>
        <w:t xml:space="preserve"> 202</w:t>
      </w:r>
      <w:r w:rsidR="00516A93" w:rsidRPr="00B74786">
        <w:rPr>
          <w:szCs w:val="22"/>
        </w:rPr>
        <w:t>4</w:t>
      </w:r>
      <w:r w:rsidRPr="00B74786">
        <w:rPr>
          <w:szCs w:val="22"/>
        </w:rPr>
        <w:t xml:space="preserve"> από </w:t>
      </w:r>
      <w:r w:rsidR="00516A93" w:rsidRPr="00B74786">
        <w:rPr>
          <w:szCs w:val="22"/>
        </w:rPr>
        <w:t>3</w:t>
      </w:r>
      <w:r w:rsidR="004B22AF">
        <w:rPr>
          <w:szCs w:val="22"/>
        </w:rPr>
        <w:t>7</w:t>
      </w:r>
      <w:r w:rsidRPr="00B74786">
        <w:rPr>
          <w:szCs w:val="22"/>
        </w:rPr>
        <w:t>% το</w:t>
      </w:r>
      <w:r w:rsidR="004210AD" w:rsidRPr="00B74786">
        <w:rPr>
          <w:szCs w:val="22"/>
        </w:rPr>
        <w:t xml:space="preserve"> α’ </w:t>
      </w:r>
      <w:r w:rsidR="004B22AF">
        <w:rPr>
          <w:szCs w:val="22"/>
        </w:rPr>
        <w:t>εξάμηνο</w:t>
      </w:r>
      <w:r w:rsidRPr="00B74786">
        <w:rPr>
          <w:szCs w:val="22"/>
        </w:rPr>
        <w:t xml:space="preserve"> 202</w:t>
      </w:r>
      <w:r w:rsidR="004210AD" w:rsidRPr="00B74786">
        <w:rPr>
          <w:szCs w:val="22"/>
        </w:rPr>
        <w:t>3</w:t>
      </w:r>
      <w:r w:rsidR="00A242DC" w:rsidRPr="00B74786">
        <w:rPr>
          <w:szCs w:val="22"/>
        </w:rPr>
        <w:t>. Η μείωση οφείλεται</w:t>
      </w:r>
      <w:r w:rsidRPr="00B74786">
        <w:rPr>
          <w:szCs w:val="22"/>
        </w:rPr>
        <w:t xml:space="preserve"> </w:t>
      </w:r>
      <w:r w:rsidR="00124400">
        <w:rPr>
          <w:szCs w:val="22"/>
        </w:rPr>
        <w:t>ουσιαστικά</w:t>
      </w:r>
      <w:r w:rsidR="00124400" w:rsidRPr="00B74786">
        <w:rPr>
          <w:szCs w:val="22"/>
        </w:rPr>
        <w:t xml:space="preserve"> </w:t>
      </w:r>
      <w:r w:rsidR="00A07497" w:rsidRPr="00B74786">
        <w:rPr>
          <w:szCs w:val="22"/>
        </w:rPr>
        <w:t xml:space="preserve">στη χαμηλότερη παραγωγή από </w:t>
      </w:r>
      <w:r w:rsidR="00BA6469" w:rsidRPr="00B74786">
        <w:rPr>
          <w:szCs w:val="22"/>
        </w:rPr>
        <w:t>λιγνιτικές μονάδες</w:t>
      </w:r>
      <w:r w:rsidR="0046700A" w:rsidRPr="00B74786">
        <w:rPr>
          <w:szCs w:val="22"/>
        </w:rPr>
        <w:t xml:space="preserve"> καθώς η ΔΕΗ </w:t>
      </w:r>
      <w:r w:rsidR="00373E29">
        <w:rPr>
          <w:szCs w:val="22"/>
        </w:rPr>
        <w:t>συνεχίζει την υλοποίηση του πλάνου της</w:t>
      </w:r>
      <w:r w:rsidR="00E86217">
        <w:rPr>
          <w:szCs w:val="22"/>
        </w:rPr>
        <w:t xml:space="preserve"> για</w:t>
      </w:r>
      <w:r w:rsidR="00D64733" w:rsidRPr="00B74786">
        <w:rPr>
          <w:szCs w:val="22"/>
        </w:rPr>
        <w:t xml:space="preserve"> </w:t>
      </w:r>
      <w:r w:rsidR="004C3870">
        <w:rPr>
          <w:szCs w:val="22"/>
        </w:rPr>
        <w:t xml:space="preserve">την </w:t>
      </w:r>
      <w:r w:rsidR="009D46AA">
        <w:rPr>
          <w:szCs w:val="22"/>
        </w:rPr>
        <w:t>πλήρη απολιγνιτοποίηση</w:t>
      </w:r>
      <w:r w:rsidR="004C3870">
        <w:rPr>
          <w:szCs w:val="22"/>
        </w:rPr>
        <w:t xml:space="preserve"> </w:t>
      </w:r>
      <w:r w:rsidR="000E4F47">
        <w:rPr>
          <w:szCs w:val="22"/>
        </w:rPr>
        <w:t>του ενεργειακού της μείγματος</w:t>
      </w:r>
      <w:r w:rsidR="00F45C2A">
        <w:rPr>
          <w:szCs w:val="22"/>
        </w:rPr>
        <w:t xml:space="preserve"> </w:t>
      </w:r>
      <w:r w:rsidR="000E4F47">
        <w:rPr>
          <w:szCs w:val="22"/>
        </w:rPr>
        <w:t>μέχρι</w:t>
      </w:r>
      <w:r w:rsidR="009D46AA">
        <w:rPr>
          <w:szCs w:val="22"/>
        </w:rPr>
        <w:t xml:space="preserve"> το 2026</w:t>
      </w:r>
      <w:r w:rsidR="00F45C2A">
        <w:rPr>
          <w:szCs w:val="22"/>
        </w:rPr>
        <w:t>.</w:t>
      </w:r>
      <w:r w:rsidR="00BA6469" w:rsidRPr="00B74786">
        <w:rPr>
          <w:szCs w:val="22"/>
        </w:rPr>
        <w:t xml:space="preserve"> </w:t>
      </w:r>
      <w:r w:rsidRPr="00B74786">
        <w:rPr>
          <w:szCs w:val="22"/>
        </w:rPr>
        <w:t>Στη Ρουμανία, το μέσο μερίδιο της ΔΕΗ στην παραγωγή από ΑΠΕ (αιολικά/ηλιακά) διαμορφώθηκε σε 1</w:t>
      </w:r>
      <w:r w:rsidR="00702CF0">
        <w:rPr>
          <w:szCs w:val="22"/>
        </w:rPr>
        <w:t>3</w:t>
      </w:r>
      <w:r w:rsidRPr="00B74786">
        <w:rPr>
          <w:szCs w:val="22"/>
        </w:rPr>
        <w:t xml:space="preserve">% παραμένοντας περίπου στα ίδια επίπεδα σε σχέση με το </w:t>
      </w:r>
      <w:r w:rsidR="00157AAF">
        <w:rPr>
          <w:szCs w:val="22"/>
        </w:rPr>
        <w:t xml:space="preserve">α' </w:t>
      </w:r>
      <w:r w:rsidR="00427137">
        <w:rPr>
          <w:szCs w:val="22"/>
        </w:rPr>
        <w:t>εξάμηνο</w:t>
      </w:r>
      <w:r w:rsidR="00157AAF">
        <w:rPr>
          <w:szCs w:val="22"/>
        </w:rPr>
        <w:t xml:space="preserve"> </w:t>
      </w:r>
      <w:r w:rsidRPr="00B74786">
        <w:rPr>
          <w:szCs w:val="22"/>
        </w:rPr>
        <w:t>202</w:t>
      </w:r>
      <w:r w:rsidR="003B2B94">
        <w:rPr>
          <w:szCs w:val="22"/>
        </w:rPr>
        <w:t>3</w:t>
      </w:r>
      <w:r w:rsidRPr="00B74786">
        <w:rPr>
          <w:szCs w:val="22"/>
        </w:rPr>
        <w:t xml:space="preserve"> (1</w:t>
      </w:r>
      <w:r w:rsidR="00B74786" w:rsidRPr="00B74786">
        <w:rPr>
          <w:szCs w:val="22"/>
        </w:rPr>
        <w:t>4</w:t>
      </w:r>
      <w:r w:rsidRPr="00B74786">
        <w:rPr>
          <w:szCs w:val="22"/>
        </w:rPr>
        <w:t>%).</w:t>
      </w:r>
    </w:p>
    <w:p w14:paraId="4509636C" w14:textId="3572B542" w:rsidR="00145FF1" w:rsidRPr="00FA26F3" w:rsidRDefault="00145FF1" w:rsidP="00145FF1">
      <w:pPr>
        <w:pStyle w:val="DehPressRelease"/>
        <w:jc w:val="both"/>
        <w:rPr>
          <w:szCs w:val="22"/>
        </w:rPr>
      </w:pPr>
      <w:r w:rsidRPr="00C67ECF">
        <w:rPr>
          <w:szCs w:val="22"/>
        </w:rPr>
        <w:t xml:space="preserve">Η μετάβαση σε πιο καθαρές μορφές ενέργειας συνεχίστηκε με μείωση </w:t>
      </w:r>
      <w:r w:rsidRPr="00FA26F3">
        <w:rPr>
          <w:szCs w:val="22"/>
        </w:rPr>
        <w:t xml:space="preserve">των </w:t>
      </w:r>
      <w:r w:rsidR="00AA4266">
        <w:rPr>
          <w:szCs w:val="22"/>
        </w:rPr>
        <w:t xml:space="preserve">άμεσων </w:t>
      </w:r>
      <w:r w:rsidRPr="00FA26F3">
        <w:rPr>
          <w:szCs w:val="22"/>
        </w:rPr>
        <w:t xml:space="preserve">εκπομπών </w:t>
      </w:r>
      <w:r w:rsidRPr="00FA26F3">
        <w:rPr>
          <w:szCs w:val="22"/>
          <w:lang w:val="en-US"/>
        </w:rPr>
        <w:t>CO</w:t>
      </w:r>
      <w:r w:rsidRPr="00FA26F3">
        <w:rPr>
          <w:szCs w:val="22"/>
          <w:vertAlign w:val="subscript"/>
        </w:rPr>
        <w:t>2</w:t>
      </w:r>
      <w:r w:rsidRPr="00FA26F3">
        <w:rPr>
          <w:szCs w:val="22"/>
        </w:rPr>
        <w:t xml:space="preserve"> </w:t>
      </w:r>
      <w:r w:rsidR="00920ED6" w:rsidRPr="006F72BA">
        <w:rPr>
          <w:szCs w:val="22"/>
        </w:rPr>
        <w:t>(</w:t>
      </w:r>
      <w:r w:rsidR="00920ED6">
        <w:rPr>
          <w:szCs w:val="22"/>
          <w:lang w:val="en-US"/>
        </w:rPr>
        <w:t>Scope</w:t>
      </w:r>
      <w:r w:rsidR="00920ED6" w:rsidRPr="006F72BA">
        <w:rPr>
          <w:szCs w:val="22"/>
        </w:rPr>
        <w:t xml:space="preserve"> 1) </w:t>
      </w:r>
      <w:r w:rsidRPr="00FA26F3">
        <w:rPr>
          <w:szCs w:val="22"/>
        </w:rPr>
        <w:t xml:space="preserve">κατά </w:t>
      </w:r>
      <w:r w:rsidR="00157AAF">
        <w:rPr>
          <w:szCs w:val="22"/>
        </w:rPr>
        <w:t>8</w:t>
      </w:r>
      <w:r w:rsidRPr="00FA26F3">
        <w:rPr>
          <w:szCs w:val="22"/>
        </w:rPr>
        <w:t xml:space="preserve">% </w:t>
      </w:r>
      <w:r w:rsidR="00265062" w:rsidRPr="00FA26F3">
        <w:rPr>
          <w:szCs w:val="22"/>
        </w:rPr>
        <w:t xml:space="preserve">η οποία </w:t>
      </w:r>
      <w:r w:rsidRPr="00FA26F3">
        <w:rPr>
          <w:szCs w:val="22"/>
        </w:rPr>
        <w:t xml:space="preserve">οδήγησε σε βελτίωση της έντασης εκπομπών </w:t>
      </w:r>
      <w:r w:rsidRPr="00FA26F3">
        <w:rPr>
          <w:szCs w:val="22"/>
          <w:lang w:val="en-US"/>
        </w:rPr>
        <w:t>CO</w:t>
      </w:r>
      <w:r w:rsidRPr="00FA26F3">
        <w:rPr>
          <w:szCs w:val="22"/>
          <w:vertAlign w:val="subscript"/>
        </w:rPr>
        <w:t>2</w:t>
      </w:r>
      <w:r w:rsidRPr="00FA26F3">
        <w:rPr>
          <w:szCs w:val="22"/>
        </w:rPr>
        <w:t xml:space="preserve"> σε 0,</w:t>
      </w:r>
      <w:r w:rsidR="00AA4266">
        <w:rPr>
          <w:szCs w:val="22"/>
        </w:rPr>
        <w:t>47</w:t>
      </w:r>
      <w:r w:rsidRPr="00FA26F3">
        <w:rPr>
          <w:szCs w:val="22"/>
        </w:rPr>
        <w:t xml:space="preserve"> τόνους ανά </w:t>
      </w:r>
      <w:r w:rsidR="00FA26F3" w:rsidRPr="00FA26F3">
        <w:rPr>
          <w:szCs w:val="22"/>
        </w:rPr>
        <w:t>παραγόμενη</w:t>
      </w:r>
      <w:r w:rsidRPr="00FA26F3">
        <w:rPr>
          <w:szCs w:val="22"/>
        </w:rPr>
        <w:t xml:space="preserve"> </w:t>
      </w:r>
      <w:r w:rsidRPr="00FA26F3">
        <w:rPr>
          <w:szCs w:val="22"/>
          <w:lang w:val="en-US"/>
        </w:rPr>
        <w:t>MWh</w:t>
      </w:r>
      <w:r w:rsidRPr="00FA26F3">
        <w:rPr>
          <w:szCs w:val="22"/>
        </w:rPr>
        <w:t xml:space="preserve"> από 0,</w:t>
      </w:r>
      <w:r w:rsidR="00AA4266">
        <w:rPr>
          <w:szCs w:val="22"/>
        </w:rPr>
        <w:t>59</w:t>
      </w:r>
      <w:r w:rsidRPr="00FA26F3">
        <w:rPr>
          <w:szCs w:val="22"/>
        </w:rPr>
        <w:t xml:space="preserve"> τόνους ανά </w:t>
      </w:r>
      <w:r w:rsidR="00FA26F3" w:rsidRPr="00FA26F3">
        <w:rPr>
          <w:szCs w:val="22"/>
        </w:rPr>
        <w:t>παραγόμενη</w:t>
      </w:r>
      <w:r w:rsidRPr="00FA26F3">
        <w:rPr>
          <w:szCs w:val="22"/>
        </w:rPr>
        <w:t xml:space="preserve"> </w:t>
      </w:r>
      <w:r w:rsidRPr="00FA26F3">
        <w:rPr>
          <w:szCs w:val="22"/>
          <w:lang w:val="en-US"/>
        </w:rPr>
        <w:t>MWh</w:t>
      </w:r>
      <w:r w:rsidRPr="00FA26F3">
        <w:rPr>
          <w:szCs w:val="22"/>
        </w:rPr>
        <w:t xml:space="preserve"> το </w:t>
      </w:r>
      <w:r w:rsidR="00EF6546">
        <w:rPr>
          <w:szCs w:val="22"/>
        </w:rPr>
        <w:t>α</w:t>
      </w:r>
      <w:r w:rsidR="00C67ECF">
        <w:rPr>
          <w:szCs w:val="22"/>
        </w:rPr>
        <w:t xml:space="preserve">’ </w:t>
      </w:r>
      <w:r w:rsidR="00AA4266">
        <w:rPr>
          <w:szCs w:val="22"/>
        </w:rPr>
        <w:t>εξάμηνο</w:t>
      </w:r>
      <w:r w:rsidR="00EF6546">
        <w:rPr>
          <w:szCs w:val="22"/>
        </w:rPr>
        <w:t xml:space="preserve"> του </w:t>
      </w:r>
      <w:r w:rsidRPr="00FA26F3">
        <w:rPr>
          <w:szCs w:val="22"/>
        </w:rPr>
        <w:t>202</w:t>
      </w:r>
      <w:r w:rsidR="00C67ECF">
        <w:rPr>
          <w:szCs w:val="22"/>
        </w:rPr>
        <w:t>3</w:t>
      </w:r>
      <w:r w:rsidRPr="00FA26F3">
        <w:rPr>
          <w:szCs w:val="22"/>
        </w:rPr>
        <w:t>.</w:t>
      </w:r>
    </w:p>
    <w:p w14:paraId="14380FBD" w14:textId="77777777" w:rsidR="00145FF1" w:rsidRPr="00DE2285" w:rsidRDefault="00145FF1" w:rsidP="00145FF1">
      <w:pPr>
        <w:pStyle w:val="DehPressRelease"/>
        <w:jc w:val="both"/>
        <w:rPr>
          <w:szCs w:val="22"/>
          <w:highlight w:val="yellow"/>
        </w:rPr>
      </w:pPr>
    </w:p>
    <w:p w14:paraId="45C06F8C" w14:textId="3716D691" w:rsidR="00145FF1" w:rsidRPr="00953577" w:rsidRDefault="00145FF1" w:rsidP="00145FF1">
      <w:pPr>
        <w:pStyle w:val="DehPressRelease"/>
        <w:spacing w:line="240" w:lineRule="auto"/>
        <w:jc w:val="both"/>
        <w:rPr>
          <w:b/>
          <w:bCs/>
          <w:szCs w:val="22"/>
        </w:rPr>
      </w:pPr>
      <w:r w:rsidRPr="0015328A">
        <w:rPr>
          <w:b/>
          <w:bCs/>
          <w:szCs w:val="22"/>
        </w:rPr>
        <w:t>Δραστηριότητα</w:t>
      </w:r>
      <w:r w:rsidRPr="00E83D5B">
        <w:rPr>
          <w:b/>
          <w:bCs/>
          <w:szCs w:val="22"/>
        </w:rPr>
        <w:t xml:space="preserve"> </w:t>
      </w:r>
      <w:r w:rsidRPr="0015328A">
        <w:rPr>
          <w:b/>
          <w:bCs/>
          <w:szCs w:val="22"/>
        </w:rPr>
        <w:t>Διανομής</w:t>
      </w:r>
      <w:r w:rsidR="00B1652C" w:rsidRPr="00E83D5B">
        <w:rPr>
          <w:b/>
          <w:bCs/>
          <w:szCs w:val="22"/>
        </w:rPr>
        <w:t xml:space="preserve"> </w:t>
      </w:r>
      <w:r w:rsidR="00953577">
        <w:rPr>
          <w:b/>
          <w:bCs/>
          <w:color w:val="FF0000"/>
          <w:szCs w:val="22"/>
        </w:rPr>
        <w:t xml:space="preserve"> </w:t>
      </w:r>
    </w:p>
    <w:p w14:paraId="65DEFD0C" w14:textId="77777777" w:rsidR="002161F0" w:rsidRPr="002161F0" w:rsidRDefault="002161F0" w:rsidP="002161F0">
      <w:pPr>
        <w:pStyle w:val="DehPressRelease"/>
        <w:jc w:val="both"/>
        <w:rPr>
          <w:szCs w:val="22"/>
        </w:rPr>
      </w:pPr>
      <w:r w:rsidRPr="002161F0">
        <w:rPr>
          <w:szCs w:val="22"/>
        </w:rPr>
        <w:t>Τα δίκτυα διανομής αποτελούν βασική επιχειρηματική δραστηριότητα για την  ΔΕΗ και έναν από τους βασικούς πυλώνες της στρατηγικής της.</w:t>
      </w:r>
    </w:p>
    <w:p w14:paraId="7E8ECAAD" w14:textId="0422C94E" w:rsidR="002161F0" w:rsidRPr="002161F0" w:rsidRDefault="002161F0" w:rsidP="002161F0">
      <w:pPr>
        <w:pStyle w:val="DehPressRelease"/>
        <w:jc w:val="both"/>
        <w:rPr>
          <w:szCs w:val="22"/>
        </w:rPr>
      </w:pPr>
      <w:r w:rsidRPr="002161F0">
        <w:rPr>
          <w:szCs w:val="22"/>
        </w:rPr>
        <w:t xml:space="preserve"> Οι δείκτες αξιοπιστίας του Δικτύου κινούνται σε παρόμοια επίπεδα με το α’ εξάμηνο του 2023, με μικρή αύξηση του SAIDI στην Ελλάδα, κυρίως λόγω του υψηλότερου χρόνου αποκατάστασης των διακοπών.  Συγκεκριμένα, στη Ρουμανία, το SAIDI παρέμεινε σταθερό στα 38 λεπτά το α’ εξάμηνο του 2024 σε σύγκριση με το α’ εξάμηνο του 2023 και στην Ελλάδα αυξήθηκε στα 59 λεπτά (από 53 λεπτά). Το SAIFI παρέμεινε σταθερό στην Ελλάδα σε 0,8 φορές και στη Ρουμανία αυξήθηκε οριακά σε 1,2 φορές (από 1,1 φορές).</w:t>
      </w:r>
    </w:p>
    <w:p w14:paraId="3C88CF86" w14:textId="77777777" w:rsidR="002161F0" w:rsidRPr="002161F0" w:rsidRDefault="002161F0" w:rsidP="002161F0">
      <w:pPr>
        <w:pStyle w:val="DehPressRelease"/>
        <w:jc w:val="both"/>
        <w:rPr>
          <w:szCs w:val="22"/>
        </w:rPr>
      </w:pPr>
      <w:r w:rsidRPr="002161F0">
        <w:rPr>
          <w:szCs w:val="22"/>
        </w:rPr>
        <w:t xml:space="preserve">Στοχεύουμε στην περαιτέρω βελτίωση των δεικτών SAIDI και SAIFI και αυτός είναι ένας από τους λόγους που υλοποιούμε σημαντικές επενδύσεις στα δίκτυα διανομής μας και στις δύο χώρες. Το ίδιο ισχύει και για τη διείσδυση έξυπνων μετρητών, όπου ειδικά στην Ελλάδα υπάρχει σημαντικό περιθώριο περαιτέρω ανάπτυξης. </w:t>
      </w:r>
    </w:p>
    <w:p w14:paraId="43834231" w14:textId="324CC099" w:rsidR="00145FF1" w:rsidRPr="00B50C9B" w:rsidRDefault="002161F0" w:rsidP="002161F0">
      <w:pPr>
        <w:pStyle w:val="DehPressRelease"/>
        <w:jc w:val="both"/>
        <w:rPr>
          <w:szCs w:val="22"/>
        </w:rPr>
      </w:pPr>
      <w:r w:rsidRPr="002161F0">
        <w:rPr>
          <w:szCs w:val="22"/>
        </w:rPr>
        <w:t xml:space="preserve">Η ενσωμάτωση των σταθμών ΑΠΕ </w:t>
      </w:r>
      <w:r w:rsidR="00F20680">
        <w:rPr>
          <w:szCs w:val="22"/>
        </w:rPr>
        <w:t xml:space="preserve">στα δίκτυα Διανομής σε Ελλάδα και Ρουμανία </w:t>
      </w:r>
      <w:r w:rsidR="005B6D0B">
        <w:rPr>
          <w:szCs w:val="22"/>
        </w:rPr>
        <w:t xml:space="preserve">συνεχίζεται με καλό ρυθμό στο </w:t>
      </w:r>
      <w:r w:rsidRPr="002161F0">
        <w:rPr>
          <w:szCs w:val="22"/>
        </w:rPr>
        <w:t xml:space="preserve">α’ εξάμηνο του </w:t>
      </w:r>
      <w:r w:rsidR="005B6D0B" w:rsidRPr="002161F0">
        <w:rPr>
          <w:szCs w:val="22"/>
        </w:rPr>
        <w:t>202</w:t>
      </w:r>
      <w:r w:rsidR="005B6D0B">
        <w:rPr>
          <w:szCs w:val="22"/>
        </w:rPr>
        <w:t>4</w:t>
      </w:r>
      <w:r w:rsidRPr="002161F0">
        <w:rPr>
          <w:szCs w:val="22"/>
        </w:rPr>
        <w:t xml:space="preserve">, </w:t>
      </w:r>
      <w:r w:rsidR="005525A7">
        <w:rPr>
          <w:szCs w:val="22"/>
        </w:rPr>
        <w:t>για μικρότερες εγκαταστάσεις ανά πελάτη</w:t>
      </w:r>
      <w:r w:rsidRPr="002161F0">
        <w:rPr>
          <w:szCs w:val="22"/>
        </w:rPr>
        <w:t>, καλύπτοντας κυρίως την ιδιοκατανάλωση.</w:t>
      </w:r>
    </w:p>
    <w:p w14:paraId="0A51D602" w14:textId="77777777" w:rsidR="00207E47" w:rsidRPr="002070A4" w:rsidRDefault="00207E47" w:rsidP="002161F0">
      <w:pPr>
        <w:pStyle w:val="DehPressRelease"/>
        <w:jc w:val="both"/>
        <w:rPr>
          <w:szCs w:val="22"/>
        </w:rPr>
      </w:pPr>
    </w:p>
    <w:p w14:paraId="737304AF" w14:textId="77777777" w:rsidR="002070A4" w:rsidRPr="002070A4" w:rsidRDefault="002070A4" w:rsidP="002161F0">
      <w:pPr>
        <w:pStyle w:val="DehPressRelease"/>
        <w:jc w:val="both"/>
        <w:rPr>
          <w:szCs w:val="22"/>
        </w:rPr>
      </w:pPr>
    </w:p>
    <w:p w14:paraId="1D8F21D4" w14:textId="77777777" w:rsidR="00145FF1" w:rsidRPr="0076453B" w:rsidRDefault="00145FF1" w:rsidP="00145FF1">
      <w:pPr>
        <w:pStyle w:val="DehPressRelease"/>
        <w:spacing w:after="0" w:line="240" w:lineRule="auto"/>
        <w:jc w:val="both"/>
        <w:rPr>
          <w:b/>
          <w:bCs/>
          <w:szCs w:val="22"/>
        </w:rPr>
      </w:pPr>
      <w:r w:rsidRPr="0076453B">
        <w:rPr>
          <w:b/>
          <w:bCs/>
          <w:szCs w:val="22"/>
        </w:rPr>
        <w:t xml:space="preserve">Τηλεπικοινωνίες </w:t>
      </w:r>
    </w:p>
    <w:p w14:paraId="17117532" w14:textId="77777777" w:rsidR="00145FF1" w:rsidRPr="0076453B" w:rsidRDefault="00145FF1" w:rsidP="00145FF1">
      <w:pPr>
        <w:pStyle w:val="DehPressRelease"/>
        <w:spacing w:after="0" w:line="240" w:lineRule="auto"/>
        <w:jc w:val="both"/>
        <w:rPr>
          <w:b/>
          <w:bCs/>
          <w:szCs w:val="22"/>
        </w:rPr>
      </w:pPr>
    </w:p>
    <w:p w14:paraId="13C9B4F7" w14:textId="139A4926" w:rsidR="00145FF1" w:rsidRPr="0076453B" w:rsidRDefault="000C5579" w:rsidP="00145FF1">
      <w:pPr>
        <w:pStyle w:val="DehPressRelease"/>
        <w:spacing w:after="0" w:line="240" w:lineRule="auto"/>
        <w:jc w:val="both"/>
        <w:rPr>
          <w:szCs w:val="22"/>
        </w:rPr>
      </w:pPr>
      <w:r>
        <w:rPr>
          <w:szCs w:val="22"/>
        </w:rPr>
        <w:t>Η</w:t>
      </w:r>
      <w:r w:rsidR="00145FF1" w:rsidRPr="0076453B">
        <w:rPr>
          <w:szCs w:val="22"/>
        </w:rPr>
        <w:t xml:space="preserve"> ανάπτυξη του</w:t>
      </w:r>
      <w:r w:rsidR="00DC7154" w:rsidRPr="00DC7154">
        <w:rPr>
          <w:szCs w:val="22"/>
        </w:rPr>
        <w:t xml:space="preserve"> </w:t>
      </w:r>
      <w:r w:rsidR="00DC7154">
        <w:rPr>
          <w:szCs w:val="22"/>
        </w:rPr>
        <w:t>δικτύου</w:t>
      </w:r>
      <w:r w:rsidR="00145FF1" w:rsidRPr="0076453B">
        <w:rPr>
          <w:szCs w:val="22"/>
        </w:rPr>
        <w:t xml:space="preserve"> </w:t>
      </w:r>
      <w:r w:rsidR="00145FF1" w:rsidRPr="0076453B">
        <w:rPr>
          <w:szCs w:val="22"/>
          <w:lang w:val="en-US"/>
        </w:rPr>
        <w:t>Fiber</w:t>
      </w:r>
      <w:r w:rsidR="00145FF1" w:rsidRPr="0076453B">
        <w:rPr>
          <w:szCs w:val="22"/>
        </w:rPr>
        <w:t>-</w:t>
      </w:r>
      <w:r w:rsidR="00145FF1" w:rsidRPr="0076453B">
        <w:rPr>
          <w:szCs w:val="22"/>
          <w:lang w:val="en-US"/>
        </w:rPr>
        <w:t>to</w:t>
      </w:r>
      <w:r w:rsidR="00145FF1" w:rsidRPr="0076453B">
        <w:rPr>
          <w:szCs w:val="22"/>
        </w:rPr>
        <w:t>-</w:t>
      </w:r>
      <w:r w:rsidR="00145FF1" w:rsidRPr="0076453B">
        <w:rPr>
          <w:szCs w:val="22"/>
          <w:lang w:val="en-US"/>
        </w:rPr>
        <w:t>the</w:t>
      </w:r>
      <w:r w:rsidR="00145FF1" w:rsidRPr="0076453B">
        <w:rPr>
          <w:szCs w:val="22"/>
        </w:rPr>
        <w:t>-</w:t>
      </w:r>
      <w:r w:rsidR="00145FF1" w:rsidRPr="0076453B">
        <w:rPr>
          <w:szCs w:val="22"/>
          <w:lang w:val="en-US"/>
        </w:rPr>
        <w:t>home</w:t>
      </w:r>
      <w:r>
        <w:rPr>
          <w:szCs w:val="22"/>
        </w:rPr>
        <w:t xml:space="preserve"> </w:t>
      </w:r>
      <w:r w:rsidR="00F56D67">
        <w:rPr>
          <w:szCs w:val="22"/>
        </w:rPr>
        <w:t xml:space="preserve">προχωράει με </w:t>
      </w:r>
      <w:r w:rsidR="00503A3B">
        <w:rPr>
          <w:szCs w:val="22"/>
        </w:rPr>
        <w:t>γρήγορο</w:t>
      </w:r>
      <w:r w:rsidR="00AF7ADD">
        <w:rPr>
          <w:szCs w:val="22"/>
        </w:rPr>
        <w:t xml:space="preserve"> ρυθμό στην Αττική, </w:t>
      </w:r>
      <w:r w:rsidR="00145FF1" w:rsidRPr="0076453B">
        <w:rPr>
          <w:szCs w:val="22"/>
        </w:rPr>
        <w:t xml:space="preserve">έχοντας φτάσει σε </w:t>
      </w:r>
      <w:r w:rsidR="00441984" w:rsidRPr="00E05CC5">
        <w:rPr>
          <w:szCs w:val="22"/>
        </w:rPr>
        <w:t>377</w:t>
      </w:r>
      <w:r w:rsidR="00145FF1" w:rsidRPr="00E05CC5">
        <w:rPr>
          <w:szCs w:val="22"/>
        </w:rPr>
        <w:t>.000 σπίτια</w:t>
      </w:r>
      <w:r w:rsidR="00441984" w:rsidRPr="00E05CC5">
        <w:rPr>
          <w:szCs w:val="22"/>
        </w:rPr>
        <w:t>/επιχειρήσεις</w:t>
      </w:r>
      <w:r w:rsidR="00145FF1" w:rsidRPr="00E05CC5">
        <w:rPr>
          <w:szCs w:val="22"/>
        </w:rPr>
        <w:t xml:space="preserve"> </w:t>
      </w:r>
      <w:r w:rsidR="00441984" w:rsidRPr="00E05CC5">
        <w:rPr>
          <w:szCs w:val="22"/>
        </w:rPr>
        <w:t>τον Ιούνιο 2024</w:t>
      </w:r>
      <w:r w:rsidR="003C55CE" w:rsidRPr="00E05CC5">
        <w:rPr>
          <w:szCs w:val="22"/>
        </w:rPr>
        <w:t>,</w:t>
      </w:r>
      <w:r w:rsidR="00281282" w:rsidRPr="00E05CC5">
        <w:rPr>
          <w:szCs w:val="22"/>
        </w:rPr>
        <w:t xml:space="preserve"> </w:t>
      </w:r>
      <w:r w:rsidR="005A23BD" w:rsidRPr="006F72BA">
        <w:rPr>
          <w:szCs w:val="22"/>
        </w:rPr>
        <w:t>μέγεθος</w:t>
      </w:r>
      <w:r w:rsidR="00281282" w:rsidRPr="006F72BA">
        <w:rPr>
          <w:szCs w:val="22"/>
        </w:rPr>
        <w:t xml:space="preserve"> </w:t>
      </w:r>
      <w:r w:rsidR="005A23BD" w:rsidRPr="006F72BA">
        <w:rPr>
          <w:szCs w:val="22"/>
        </w:rPr>
        <w:t xml:space="preserve">διπλάσιο </w:t>
      </w:r>
      <w:r w:rsidR="00281282" w:rsidRPr="006F72BA">
        <w:rPr>
          <w:szCs w:val="22"/>
        </w:rPr>
        <w:t xml:space="preserve">σε σχέση με τον </w:t>
      </w:r>
      <w:r w:rsidR="00281282" w:rsidRPr="006F72BA">
        <w:rPr>
          <w:szCs w:val="22"/>
        </w:rPr>
        <w:lastRenderedPageBreak/>
        <w:t>Μάρτιο</w:t>
      </w:r>
      <w:r w:rsidR="00B86C0D">
        <w:rPr>
          <w:szCs w:val="22"/>
        </w:rPr>
        <w:t>.</w:t>
      </w:r>
      <w:r w:rsidR="0096049E">
        <w:rPr>
          <w:szCs w:val="22"/>
        </w:rPr>
        <w:t xml:space="preserve"> </w:t>
      </w:r>
      <w:r w:rsidR="00C529A7">
        <w:rPr>
          <w:szCs w:val="22"/>
        </w:rPr>
        <w:t xml:space="preserve">Το κατασκευαστικό πλάνο για το 2024-2025 </w:t>
      </w:r>
      <w:r w:rsidR="00BC534D">
        <w:rPr>
          <w:szCs w:val="22"/>
        </w:rPr>
        <w:t>προχωρά γρήγορα και σταθερά</w:t>
      </w:r>
      <w:r w:rsidR="006C04DA">
        <w:rPr>
          <w:szCs w:val="22"/>
        </w:rPr>
        <w:t xml:space="preserve"> με στόχο το δίκτυο </w:t>
      </w:r>
      <w:r w:rsidR="006C04DA">
        <w:rPr>
          <w:szCs w:val="22"/>
          <w:lang w:val="en-US"/>
        </w:rPr>
        <w:t>FTTH</w:t>
      </w:r>
      <w:r w:rsidR="000B4CED">
        <w:rPr>
          <w:szCs w:val="22"/>
        </w:rPr>
        <w:t xml:space="preserve"> να φτάσει σε 1,7 εκατ. νοικοκυριά και επιχειρήσεις</w:t>
      </w:r>
      <w:r w:rsidR="00D80784">
        <w:rPr>
          <w:szCs w:val="22"/>
        </w:rPr>
        <w:t xml:space="preserve"> μέχρι το τέλος του 2025.</w:t>
      </w:r>
      <w:r w:rsidR="00145FF1" w:rsidRPr="0076453B">
        <w:rPr>
          <w:szCs w:val="22"/>
        </w:rPr>
        <w:t xml:space="preserve"> </w:t>
      </w:r>
      <w:r w:rsidR="0076453B" w:rsidRPr="0076453B">
        <w:rPr>
          <w:szCs w:val="22"/>
        </w:rPr>
        <w:t xml:space="preserve"> </w:t>
      </w:r>
    </w:p>
    <w:p w14:paraId="3C302B3E" w14:textId="77777777" w:rsidR="00145FF1" w:rsidRPr="00DE2285" w:rsidRDefault="00145FF1" w:rsidP="00145FF1">
      <w:pPr>
        <w:pStyle w:val="DehPressRelease"/>
        <w:spacing w:after="0" w:line="240" w:lineRule="auto"/>
        <w:jc w:val="both"/>
        <w:rPr>
          <w:szCs w:val="22"/>
          <w:highlight w:val="yellow"/>
        </w:rPr>
      </w:pPr>
    </w:p>
    <w:p w14:paraId="061C080C" w14:textId="77777777" w:rsidR="00186315" w:rsidRDefault="00186315" w:rsidP="00145FF1">
      <w:pPr>
        <w:pStyle w:val="DehPressRelease"/>
        <w:spacing w:line="240" w:lineRule="auto"/>
        <w:jc w:val="both"/>
        <w:rPr>
          <w:b/>
          <w:bCs/>
          <w:szCs w:val="22"/>
        </w:rPr>
      </w:pPr>
    </w:p>
    <w:p w14:paraId="1EF7B641" w14:textId="67C2AA3E" w:rsidR="00145FF1" w:rsidRPr="000B4CED" w:rsidRDefault="000B4CED" w:rsidP="00145FF1">
      <w:pPr>
        <w:pStyle w:val="DehPressRelease"/>
        <w:spacing w:line="240" w:lineRule="auto"/>
        <w:jc w:val="both"/>
        <w:rPr>
          <w:b/>
          <w:bCs/>
          <w:szCs w:val="22"/>
        </w:rPr>
      </w:pPr>
      <w:r>
        <w:rPr>
          <w:b/>
          <w:bCs/>
          <w:szCs w:val="22"/>
        </w:rPr>
        <w:t>Ηλεκτροκίνηση</w:t>
      </w:r>
    </w:p>
    <w:p w14:paraId="029A12D6" w14:textId="20F4F200" w:rsidR="0046533C" w:rsidRPr="0072685D" w:rsidRDefault="00676889" w:rsidP="009D4E41">
      <w:pPr>
        <w:pStyle w:val="DehPressRelease"/>
        <w:jc w:val="both"/>
        <w:rPr>
          <w:szCs w:val="22"/>
        </w:rPr>
      </w:pPr>
      <w:r w:rsidRPr="00676889">
        <w:rPr>
          <w:szCs w:val="22"/>
        </w:rPr>
        <w:t xml:space="preserve">Στον τομέα της ηλεκτροκίνησης, μέσω της ΔΕΗ blue, </w:t>
      </w:r>
      <w:r w:rsidR="001232ED">
        <w:rPr>
          <w:szCs w:val="22"/>
        </w:rPr>
        <w:t>η ΔΕΗ κατέχει</w:t>
      </w:r>
      <w:r w:rsidR="001232ED" w:rsidRPr="00676889">
        <w:rPr>
          <w:szCs w:val="22"/>
        </w:rPr>
        <w:t xml:space="preserve"> </w:t>
      </w:r>
      <w:r w:rsidRPr="00676889">
        <w:rPr>
          <w:szCs w:val="22"/>
        </w:rPr>
        <w:t>ηγετικό μερίδιο αγοράς 3</w:t>
      </w:r>
      <w:r w:rsidR="00483998">
        <w:rPr>
          <w:szCs w:val="22"/>
        </w:rPr>
        <w:t>4</w:t>
      </w:r>
      <w:r w:rsidRPr="00676889">
        <w:rPr>
          <w:szCs w:val="22"/>
        </w:rPr>
        <w:t>% στα δημόσια σημεία φόρτισης στην Ελλάδα</w:t>
      </w:r>
      <w:r w:rsidR="0046533C">
        <w:rPr>
          <w:szCs w:val="22"/>
        </w:rPr>
        <w:t xml:space="preserve">. Η ΔΕΗ είναι </w:t>
      </w:r>
      <w:r w:rsidR="00B74AB9">
        <w:rPr>
          <w:szCs w:val="22"/>
        </w:rPr>
        <w:t xml:space="preserve">επίσης ενεργή </w:t>
      </w:r>
      <w:r w:rsidR="003025F3">
        <w:rPr>
          <w:szCs w:val="22"/>
        </w:rPr>
        <w:t xml:space="preserve">στον τομέα της ηλεκτροκίνησης </w:t>
      </w:r>
      <w:r w:rsidR="00B74AB9">
        <w:rPr>
          <w:szCs w:val="22"/>
        </w:rPr>
        <w:t>στη Ρουμανία,</w:t>
      </w:r>
      <w:r w:rsidR="002645A6">
        <w:rPr>
          <w:szCs w:val="22"/>
        </w:rPr>
        <w:t xml:space="preserve"> με τον συνολικό αριθμό σημείων φόρτισης να ανέρχεται </w:t>
      </w:r>
      <w:r w:rsidR="00D11CB5">
        <w:rPr>
          <w:szCs w:val="22"/>
        </w:rPr>
        <w:t>κοντά στα 2.700</w:t>
      </w:r>
      <w:r w:rsidR="0072685D">
        <w:rPr>
          <w:szCs w:val="22"/>
        </w:rPr>
        <w:t xml:space="preserve"> </w:t>
      </w:r>
      <w:r w:rsidR="00EB0437">
        <w:rPr>
          <w:szCs w:val="22"/>
        </w:rPr>
        <w:t xml:space="preserve">στο τέλος του α΄ εξαμήνου 2024 </w:t>
      </w:r>
      <w:r w:rsidR="0072685D">
        <w:rPr>
          <w:szCs w:val="22"/>
        </w:rPr>
        <w:t xml:space="preserve">και στις </w:t>
      </w:r>
      <w:r w:rsidR="00EB0437">
        <w:rPr>
          <w:szCs w:val="22"/>
        </w:rPr>
        <w:t xml:space="preserve">δύο </w:t>
      </w:r>
      <w:r w:rsidR="0072685D">
        <w:rPr>
          <w:szCs w:val="22"/>
        </w:rPr>
        <w:t>χώρες.</w:t>
      </w:r>
    </w:p>
    <w:p w14:paraId="0ACBE690" w14:textId="77777777" w:rsidR="00633C98" w:rsidRPr="00453CBA" w:rsidRDefault="00633C98" w:rsidP="00633C98">
      <w:pPr>
        <w:rPr>
          <w:rFonts w:ascii="Ping LCG Regular" w:hAnsi="Ping LCG Regular"/>
          <w:b/>
          <w:bCs/>
          <w:sz w:val="20"/>
          <w:szCs w:val="20"/>
          <w:u w:val="single"/>
          <w:lang w:val="el-GR"/>
        </w:rPr>
      </w:pPr>
    </w:p>
    <w:p w14:paraId="2EEB2F03" w14:textId="77777777" w:rsidR="00BD4236" w:rsidRPr="00453CBA" w:rsidRDefault="00BD4236" w:rsidP="00633C98">
      <w:pPr>
        <w:rPr>
          <w:rFonts w:ascii="Ping LCG Regular" w:hAnsi="Ping LCG Regular"/>
          <w:b/>
          <w:bCs/>
          <w:sz w:val="20"/>
          <w:szCs w:val="20"/>
          <w:u w:val="single"/>
          <w:lang w:val="el-GR"/>
        </w:rPr>
      </w:pPr>
    </w:p>
    <w:p w14:paraId="6F6ED8BD" w14:textId="77777777" w:rsidR="00BD4236" w:rsidRPr="00453CBA" w:rsidRDefault="00BD4236" w:rsidP="00633C98">
      <w:pPr>
        <w:rPr>
          <w:rFonts w:ascii="Ping LCG Regular" w:hAnsi="Ping LCG Regular"/>
          <w:b/>
          <w:bCs/>
          <w:sz w:val="20"/>
          <w:szCs w:val="20"/>
          <w:u w:val="single"/>
          <w:lang w:val="el-GR"/>
        </w:rPr>
      </w:pPr>
    </w:p>
    <w:p w14:paraId="1298032E" w14:textId="77777777" w:rsidR="00BD4236" w:rsidRPr="00453CBA" w:rsidRDefault="00BD4236" w:rsidP="00633C98">
      <w:pPr>
        <w:rPr>
          <w:rFonts w:ascii="Ping LCG Regular" w:hAnsi="Ping LCG Regular"/>
          <w:b/>
          <w:bCs/>
          <w:sz w:val="20"/>
          <w:szCs w:val="20"/>
          <w:u w:val="single"/>
          <w:lang w:val="el-GR"/>
        </w:rPr>
      </w:pPr>
    </w:p>
    <w:p w14:paraId="6A4536C1" w14:textId="77777777" w:rsidR="00BD4236" w:rsidRPr="00453CBA" w:rsidRDefault="00BD4236" w:rsidP="00633C98">
      <w:pPr>
        <w:rPr>
          <w:rFonts w:ascii="Ping LCG Regular" w:hAnsi="Ping LCG Regular"/>
          <w:b/>
          <w:bCs/>
          <w:sz w:val="20"/>
          <w:szCs w:val="20"/>
          <w:u w:val="single"/>
          <w:lang w:val="el-GR"/>
        </w:rPr>
      </w:pPr>
    </w:p>
    <w:p w14:paraId="02D97666" w14:textId="77777777" w:rsidR="00BD4236" w:rsidRPr="00453CBA" w:rsidRDefault="00BD4236" w:rsidP="00633C98">
      <w:pPr>
        <w:rPr>
          <w:rFonts w:ascii="Ping LCG Regular" w:hAnsi="Ping LCG Regular"/>
          <w:b/>
          <w:bCs/>
          <w:sz w:val="20"/>
          <w:szCs w:val="20"/>
          <w:u w:val="single"/>
          <w:lang w:val="el-GR"/>
        </w:rPr>
      </w:pPr>
    </w:p>
    <w:p w14:paraId="4A57F3FC" w14:textId="77777777" w:rsidR="00823FD9" w:rsidRDefault="00823FD9" w:rsidP="00633C98">
      <w:pPr>
        <w:rPr>
          <w:rFonts w:ascii="Ping LCG Regular" w:hAnsi="Ping LCG Regular"/>
          <w:b/>
          <w:bCs/>
          <w:sz w:val="20"/>
          <w:szCs w:val="20"/>
          <w:u w:val="single"/>
          <w:lang w:val="el-GR"/>
        </w:rPr>
      </w:pPr>
    </w:p>
    <w:p w14:paraId="1C7AA208" w14:textId="77777777" w:rsidR="00823FD9" w:rsidRDefault="00823FD9" w:rsidP="00633C98">
      <w:pPr>
        <w:rPr>
          <w:rFonts w:ascii="Ping LCG Regular" w:hAnsi="Ping LCG Regular"/>
          <w:b/>
          <w:bCs/>
          <w:sz w:val="20"/>
          <w:szCs w:val="20"/>
          <w:u w:val="single"/>
          <w:lang w:val="el-GR"/>
        </w:rPr>
      </w:pPr>
    </w:p>
    <w:p w14:paraId="475111AE" w14:textId="77777777" w:rsidR="00823FD9" w:rsidRDefault="00823FD9" w:rsidP="00633C98">
      <w:pPr>
        <w:rPr>
          <w:rFonts w:ascii="Ping LCG Regular" w:hAnsi="Ping LCG Regular"/>
          <w:b/>
          <w:bCs/>
          <w:sz w:val="20"/>
          <w:szCs w:val="20"/>
          <w:u w:val="single"/>
          <w:lang w:val="el-GR"/>
        </w:rPr>
      </w:pPr>
    </w:p>
    <w:p w14:paraId="4934D822" w14:textId="77777777" w:rsidR="00823FD9" w:rsidRDefault="00823FD9" w:rsidP="00633C98">
      <w:pPr>
        <w:rPr>
          <w:rFonts w:ascii="Ping LCG Regular" w:hAnsi="Ping LCG Regular"/>
          <w:b/>
          <w:bCs/>
          <w:sz w:val="20"/>
          <w:szCs w:val="20"/>
          <w:u w:val="single"/>
          <w:lang w:val="el-GR"/>
        </w:rPr>
      </w:pPr>
    </w:p>
    <w:p w14:paraId="3FA0354D" w14:textId="77777777" w:rsidR="00823FD9" w:rsidRDefault="00823FD9" w:rsidP="00633C98">
      <w:pPr>
        <w:rPr>
          <w:rFonts w:ascii="Ping LCG Regular" w:hAnsi="Ping LCG Regular"/>
          <w:b/>
          <w:bCs/>
          <w:sz w:val="20"/>
          <w:szCs w:val="20"/>
          <w:u w:val="single"/>
          <w:lang w:val="el-GR"/>
        </w:rPr>
      </w:pPr>
    </w:p>
    <w:p w14:paraId="5984C725" w14:textId="77777777" w:rsidR="00823FD9" w:rsidRDefault="00823FD9" w:rsidP="00633C98">
      <w:pPr>
        <w:rPr>
          <w:rFonts w:ascii="Ping LCG Regular" w:hAnsi="Ping LCG Regular"/>
          <w:b/>
          <w:bCs/>
          <w:sz w:val="20"/>
          <w:szCs w:val="20"/>
          <w:u w:val="single"/>
          <w:lang w:val="el-GR"/>
        </w:rPr>
      </w:pPr>
    </w:p>
    <w:p w14:paraId="787071DD" w14:textId="77777777" w:rsidR="00823FD9" w:rsidRPr="00453CBA" w:rsidRDefault="00823FD9" w:rsidP="00633C98">
      <w:pPr>
        <w:rPr>
          <w:rFonts w:ascii="Ping LCG Regular" w:hAnsi="Ping LCG Regular"/>
          <w:b/>
          <w:bCs/>
          <w:sz w:val="20"/>
          <w:szCs w:val="20"/>
          <w:u w:val="single"/>
          <w:lang w:val="el-GR"/>
        </w:rPr>
      </w:pPr>
    </w:p>
    <w:p w14:paraId="2C759C61" w14:textId="77777777" w:rsidR="00633C98" w:rsidRPr="00453CBA" w:rsidRDefault="00633C98" w:rsidP="00633C98">
      <w:pPr>
        <w:rPr>
          <w:rFonts w:ascii="Ping LCG Regular" w:hAnsi="Ping LCG Regular"/>
          <w:b/>
          <w:bCs/>
          <w:sz w:val="20"/>
          <w:szCs w:val="20"/>
          <w:u w:val="single"/>
          <w:lang w:val="el-GR"/>
        </w:rPr>
      </w:pPr>
    </w:p>
    <w:p w14:paraId="5FF43FCE" w14:textId="77777777" w:rsidR="000C37D8" w:rsidRDefault="000C37D8">
      <w:pPr>
        <w:rPr>
          <w:rFonts w:ascii="Ping LCG Regular" w:hAnsi="Ping LCG Regular"/>
          <w:b/>
          <w:bCs/>
          <w:sz w:val="20"/>
          <w:szCs w:val="20"/>
          <w:u w:val="single"/>
          <w:lang w:val="el-GR"/>
        </w:rPr>
      </w:pPr>
      <w:r>
        <w:rPr>
          <w:rFonts w:ascii="Ping LCG Regular" w:hAnsi="Ping LCG Regular"/>
          <w:b/>
          <w:bCs/>
          <w:sz w:val="20"/>
          <w:szCs w:val="20"/>
          <w:u w:val="single"/>
          <w:lang w:val="el-GR"/>
        </w:rPr>
        <w:br w:type="page"/>
      </w:r>
    </w:p>
    <w:p w14:paraId="6261FF0C" w14:textId="170618DB" w:rsidR="00145FF1" w:rsidRPr="00E83D5B" w:rsidRDefault="00145FF1" w:rsidP="00633C98">
      <w:pPr>
        <w:rPr>
          <w:rFonts w:ascii="Ping LCG Regular" w:hAnsi="Ping LCG Regular"/>
          <w:b/>
          <w:bCs/>
          <w:sz w:val="20"/>
          <w:szCs w:val="20"/>
          <w:u w:val="single"/>
          <w:lang w:val="el-GR"/>
        </w:rPr>
      </w:pPr>
      <w:r w:rsidRPr="00E83D5B">
        <w:rPr>
          <w:rFonts w:ascii="Ping LCG Regular" w:hAnsi="Ping LCG Regular"/>
          <w:b/>
          <w:bCs/>
          <w:sz w:val="20"/>
          <w:szCs w:val="20"/>
          <w:u w:val="single"/>
          <w:lang w:val="el-GR"/>
        </w:rPr>
        <w:lastRenderedPageBreak/>
        <w:t>Πληροφορίες:</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8"/>
      </w:tblGrid>
      <w:tr w:rsidR="00145FF1" w:rsidRPr="00E83D5B" w14:paraId="15AD2CD6" w14:textId="77777777" w:rsidTr="008E7128">
        <w:tc>
          <w:tcPr>
            <w:tcW w:w="4318" w:type="dxa"/>
          </w:tcPr>
          <w:p w14:paraId="64826179" w14:textId="77777777" w:rsidR="00145FF1" w:rsidRPr="00E83D5B" w:rsidRDefault="00145FF1" w:rsidP="008E7128">
            <w:pPr>
              <w:pStyle w:val="DehPressRelease"/>
              <w:spacing w:after="0" w:line="240" w:lineRule="auto"/>
              <w:rPr>
                <w:sz w:val="20"/>
                <w:szCs w:val="20"/>
              </w:rPr>
            </w:pPr>
            <w:r w:rsidRPr="00E83D5B">
              <w:rPr>
                <w:sz w:val="20"/>
                <w:szCs w:val="20"/>
              </w:rPr>
              <w:t>Διεύθυνση Επενδυτικών Σχέσεων</w:t>
            </w:r>
          </w:p>
          <w:p w14:paraId="78E2514B" w14:textId="77777777" w:rsidR="00145FF1" w:rsidRPr="00E83D5B" w:rsidRDefault="00145FF1" w:rsidP="008E7128">
            <w:pPr>
              <w:tabs>
                <w:tab w:val="left" w:pos="284"/>
              </w:tabs>
              <w:rPr>
                <w:rFonts w:ascii="Ping LCG Regular" w:hAnsi="Ping LCG Regular"/>
                <w:sz w:val="20"/>
                <w:szCs w:val="20"/>
                <w:lang w:val="el-GR"/>
              </w:rPr>
            </w:pPr>
            <w:r w:rsidRPr="00E83D5B">
              <w:rPr>
                <w:rFonts w:ascii="Ping LCG Regular" w:hAnsi="Ping LCG Regular"/>
                <w:sz w:val="20"/>
                <w:szCs w:val="20"/>
                <w:lang w:val="el-GR"/>
              </w:rPr>
              <w:t>Χαλκοκονδύλη 30, 104 32 Αθήνα</w:t>
            </w:r>
          </w:p>
          <w:p w14:paraId="1D55B17E" w14:textId="77777777" w:rsidR="00145FF1" w:rsidRPr="00E83D5B" w:rsidRDefault="00145FF1" w:rsidP="008E7128">
            <w:pPr>
              <w:tabs>
                <w:tab w:val="left" w:pos="284"/>
              </w:tabs>
              <w:rPr>
                <w:rFonts w:ascii="Ping LCG Regular" w:hAnsi="Ping LCG Regular"/>
                <w:sz w:val="20"/>
                <w:szCs w:val="20"/>
                <w:lang w:val="el-GR"/>
              </w:rPr>
            </w:pPr>
            <w:r w:rsidRPr="00E83D5B">
              <w:rPr>
                <w:rFonts w:ascii="Ping LCG Regular" w:hAnsi="Ping LCG Regular"/>
                <w:sz w:val="20"/>
                <w:szCs w:val="20"/>
                <w:lang w:val="el-GR"/>
              </w:rPr>
              <w:t xml:space="preserve">Τ: </w:t>
            </w:r>
            <w:r w:rsidRPr="00E83D5B">
              <w:rPr>
                <w:rFonts w:ascii="Ping LCG Regular" w:hAnsi="Ping LCG Regular"/>
                <w:sz w:val="20"/>
                <w:szCs w:val="20"/>
                <w:lang w:val="el-GR"/>
              </w:rPr>
              <w:tab/>
              <w:t>+30 210 529 2153</w:t>
            </w:r>
          </w:p>
          <w:p w14:paraId="7B87035D" w14:textId="77777777" w:rsidR="00145FF1" w:rsidRPr="00E83D5B" w:rsidRDefault="00145FF1" w:rsidP="008E7128">
            <w:pPr>
              <w:tabs>
                <w:tab w:val="left" w:pos="284"/>
              </w:tabs>
              <w:rPr>
                <w:rFonts w:ascii="Ping LCG Regular" w:hAnsi="Ping LCG Regular"/>
                <w:sz w:val="20"/>
                <w:szCs w:val="20"/>
              </w:rPr>
            </w:pPr>
            <w:r w:rsidRPr="00E83D5B">
              <w:rPr>
                <w:rFonts w:ascii="Ping LCG Regular" w:hAnsi="Ping LCG Regular"/>
                <w:sz w:val="20"/>
                <w:szCs w:val="20"/>
                <w:lang w:val="el-GR"/>
              </w:rPr>
              <w:tab/>
            </w:r>
            <w:r w:rsidRPr="00E83D5B">
              <w:rPr>
                <w:rFonts w:ascii="Ping LCG Regular" w:hAnsi="Ping LCG Regular"/>
                <w:sz w:val="20"/>
                <w:szCs w:val="20"/>
              </w:rPr>
              <w:t>+30 210 529 3665</w:t>
            </w:r>
          </w:p>
          <w:p w14:paraId="059909C4" w14:textId="77777777" w:rsidR="00145FF1" w:rsidRPr="00E83D5B" w:rsidRDefault="00145FF1" w:rsidP="008E7128">
            <w:pPr>
              <w:tabs>
                <w:tab w:val="left" w:pos="284"/>
              </w:tabs>
              <w:rPr>
                <w:rFonts w:ascii="Ping LCG Regular" w:hAnsi="Ping LCG Regular"/>
                <w:sz w:val="20"/>
                <w:szCs w:val="20"/>
              </w:rPr>
            </w:pPr>
            <w:r w:rsidRPr="00E83D5B">
              <w:rPr>
                <w:rFonts w:ascii="Ping LCG Regular" w:hAnsi="Ping LCG Regular"/>
                <w:sz w:val="20"/>
                <w:szCs w:val="20"/>
              </w:rPr>
              <w:tab/>
              <w:t>+30 210 529 3207</w:t>
            </w:r>
          </w:p>
          <w:p w14:paraId="5B1844CC" w14:textId="77777777" w:rsidR="00145FF1" w:rsidRPr="00E83D5B" w:rsidRDefault="00000000" w:rsidP="008E7128">
            <w:pPr>
              <w:pStyle w:val="DehPressRelease"/>
              <w:spacing w:after="0" w:line="240" w:lineRule="auto"/>
              <w:rPr>
                <w:rStyle w:val="-"/>
                <w:sz w:val="20"/>
                <w:szCs w:val="20"/>
              </w:rPr>
            </w:pPr>
            <w:hyperlink r:id="rId12" w:history="1">
              <w:r w:rsidR="00145FF1" w:rsidRPr="00E83D5B">
                <w:rPr>
                  <w:rStyle w:val="-"/>
                  <w:sz w:val="20"/>
                  <w:szCs w:val="20"/>
                </w:rPr>
                <w:t>ir@ppcgroup.com</w:t>
              </w:r>
            </w:hyperlink>
          </w:p>
          <w:p w14:paraId="4D142079" w14:textId="77777777" w:rsidR="00145FF1" w:rsidRPr="00E83D5B" w:rsidRDefault="00145FF1" w:rsidP="008E7128">
            <w:pPr>
              <w:pStyle w:val="DehPressRelease"/>
              <w:spacing w:after="0" w:line="240" w:lineRule="auto"/>
              <w:rPr>
                <w:sz w:val="20"/>
                <w:szCs w:val="20"/>
                <w:lang w:val="en-US"/>
              </w:rPr>
            </w:pPr>
          </w:p>
        </w:tc>
        <w:tc>
          <w:tcPr>
            <w:tcW w:w="4318" w:type="dxa"/>
          </w:tcPr>
          <w:p w14:paraId="182E9E0C" w14:textId="77777777" w:rsidR="00145FF1" w:rsidRPr="00E83D5B" w:rsidRDefault="00145FF1" w:rsidP="008E7128">
            <w:pPr>
              <w:tabs>
                <w:tab w:val="left" w:pos="284"/>
              </w:tabs>
              <w:rPr>
                <w:rFonts w:ascii="Ping LCG Regular" w:hAnsi="Ping LCG Regular"/>
                <w:sz w:val="20"/>
                <w:szCs w:val="20"/>
              </w:rPr>
            </w:pPr>
            <w:r w:rsidRPr="00E83D5B">
              <w:rPr>
                <w:rFonts w:ascii="Ping LCG Regular" w:hAnsi="Ping LCG Regular"/>
                <w:sz w:val="20"/>
                <w:szCs w:val="20"/>
              </w:rPr>
              <w:t xml:space="preserve">Media Relations </w:t>
            </w:r>
            <w:r w:rsidRPr="00E83D5B">
              <w:rPr>
                <w:rFonts w:ascii="Ping LCG Regular" w:hAnsi="Ping LCG Regular"/>
                <w:sz w:val="20"/>
                <w:szCs w:val="20"/>
                <w:lang w:val="el-GR"/>
              </w:rPr>
              <w:t>Ομίλου</w:t>
            </w:r>
            <w:r w:rsidRPr="00E83D5B">
              <w:rPr>
                <w:rFonts w:ascii="Ping LCG Regular" w:hAnsi="Ping LCG Regular"/>
                <w:sz w:val="20"/>
                <w:szCs w:val="20"/>
              </w:rPr>
              <w:t xml:space="preserve"> </w:t>
            </w:r>
            <w:r w:rsidRPr="00E83D5B">
              <w:rPr>
                <w:rFonts w:ascii="Ping LCG Regular" w:hAnsi="Ping LCG Regular"/>
                <w:sz w:val="20"/>
                <w:szCs w:val="20"/>
                <w:lang w:val="el-GR"/>
              </w:rPr>
              <w:t>ΔΕΗ</w:t>
            </w:r>
          </w:p>
          <w:p w14:paraId="4F71EEE7" w14:textId="77777777" w:rsidR="00145FF1" w:rsidRPr="00E83D5B" w:rsidRDefault="00145FF1" w:rsidP="008E7128">
            <w:pPr>
              <w:tabs>
                <w:tab w:val="left" w:pos="284"/>
              </w:tabs>
              <w:rPr>
                <w:rFonts w:ascii="Ping LCG Regular" w:hAnsi="Ping LCG Regular"/>
                <w:sz w:val="20"/>
                <w:szCs w:val="20"/>
              </w:rPr>
            </w:pPr>
            <w:r w:rsidRPr="00E83D5B">
              <w:rPr>
                <w:rFonts w:ascii="Ping LCG Regular" w:hAnsi="Ping LCG Regular"/>
                <w:sz w:val="20"/>
                <w:szCs w:val="20"/>
              </w:rPr>
              <w:t>Χαλκοκονδύλη 32, 104 32 Αθήνα</w:t>
            </w:r>
          </w:p>
          <w:p w14:paraId="60E6E4C4" w14:textId="77777777" w:rsidR="00145FF1" w:rsidRPr="00E83D5B" w:rsidRDefault="00145FF1" w:rsidP="008E7128">
            <w:pPr>
              <w:tabs>
                <w:tab w:val="left" w:pos="284"/>
              </w:tabs>
              <w:rPr>
                <w:rFonts w:ascii="Ping LCG Regular" w:hAnsi="Ping LCG Regular"/>
                <w:sz w:val="20"/>
                <w:szCs w:val="20"/>
              </w:rPr>
            </w:pPr>
            <w:r w:rsidRPr="00E83D5B">
              <w:rPr>
                <w:rFonts w:ascii="Ping LCG Regular" w:hAnsi="Ping LCG Regular"/>
                <w:sz w:val="20"/>
                <w:szCs w:val="20"/>
              </w:rPr>
              <w:t>Τ:</w:t>
            </w:r>
            <w:r w:rsidRPr="00E83D5B">
              <w:rPr>
                <w:rFonts w:ascii="Ping LCG Regular" w:hAnsi="Ping LCG Regular"/>
                <w:sz w:val="20"/>
                <w:szCs w:val="20"/>
              </w:rPr>
              <w:tab/>
              <w:t xml:space="preserve">+30 210 523 1807, </w:t>
            </w:r>
          </w:p>
          <w:p w14:paraId="14E30CAC" w14:textId="77777777" w:rsidR="00145FF1" w:rsidRPr="00E83D5B" w:rsidRDefault="00145FF1" w:rsidP="008E7128">
            <w:pPr>
              <w:tabs>
                <w:tab w:val="left" w:pos="284"/>
              </w:tabs>
              <w:rPr>
                <w:rFonts w:ascii="Ping LCG Regular" w:hAnsi="Ping LCG Regular"/>
                <w:sz w:val="20"/>
                <w:szCs w:val="20"/>
              </w:rPr>
            </w:pPr>
            <w:r w:rsidRPr="00E83D5B">
              <w:rPr>
                <w:rFonts w:ascii="Ping LCG Regular" w:hAnsi="Ping LCG Regular"/>
                <w:sz w:val="20"/>
                <w:szCs w:val="20"/>
              </w:rPr>
              <w:tab/>
              <w:t>+30 210 529 3404,</w:t>
            </w:r>
          </w:p>
          <w:p w14:paraId="6569D150" w14:textId="77777777" w:rsidR="00145FF1" w:rsidRPr="00E83D5B" w:rsidRDefault="00145FF1" w:rsidP="008E7128">
            <w:pPr>
              <w:tabs>
                <w:tab w:val="left" w:pos="284"/>
              </w:tabs>
              <w:rPr>
                <w:rFonts w:ascii="Ping LCG Regular" w:hAnsi="Ping LCG Regular"/>
                <w:sz w:val="20"/>
                <w:szCs w:val="20"/>
              </w:rPr>
            </w:pPr>
            <w:r w:rsidRPr="00E83D5B">
              <w:rPr>
                <w:rFonts w:ascii="Ping LCG Regular" w:hAnsi="Ping LCG Regular"/>
                <w:sz w:val="20"/>
                <w:szCs w:val="20"/>
              </w:rPr>
              <w:t xml:space="preserve"> </w:t>
            </w:r>
            <w:r w:rsidRPr="00E83D5B">
              <w:rPr>
                <w:rFonts w:ascii="Ping LCG Regular" w:hAnsi="Ping LCG Regular"/>
                <w:sz w:val="20"/>
                <w:szCs w:val="20"/>
              </w:rPr>
              <w:tab/>
              <w:t>+30 697 270 7713</w:t>
            </w:r>
          </w:p>
          <w:p w14:paraId="278FD80F" w14:textId="0AAF4C53" w:rsidR="00145FF1" w:rsidRPr="005A795A" w:rsidRDefault="00000000" w:rsidP="008E7128">
            <w:pPr>
              <w:tabs>
                <w:tab w:val="left" w:pos="284"/>
              </w:tabs>
              <w:rPr>
                <w:rFonts w:ascii="Ping LCG Regular" w:hAnsi="Ping LCG Regular"/>
                <w:sz w:val="20"/>
                <w:szCs w:val="20"/>
              </w:rPr>
            </w:pPr>
            <w:hyperlink r:id="rId13" w:history="1">
              <w:r w:rsidR="00291CCF" w:rsidRPr="005A795A">
                <w:rPr>
                  <w:rStyle w:val="-"/>
                  <w:rFonts w:ascii="Ping LCG Regular" w:hAnsi="Ping LCG Regular"/>
                  <w:sz w:val="20"/>
                  <w:szCs w:val="20"/>
                </w:rPr>
                <w:t>information@ppcgroup.com</w:t>
              </w:r>
            </w:hyperlink>
            <w:r w:rsidR="00291CCF" w:rsidRPr="005A795A">
              <w:rPr>
                <w:rStyle w:val="-"/>
                <w:rFonts w:ascii="Ping LCG Regular" w:hAnsi="Ping LCG Regular"/>
                <w:sz w:val="20"/>
                <w:szCs w:val="20"/>
              </w:rPr>
              <w:t xml:space="preserve"> </w:t>
            </w:r>
          </w:p>
          <w:p w14:paraId="546083CD" w14:textId="49594BC1" w:rsidR="00145FF1" w:rsidRPr="00E83D5B" w:rsidRDefault="00472C4F" w:rsidP="008E7128">
            <w:pPr>
              <w:tabs>
                <w:tab w:val="left" w:pos="284"/>
              </w:tabs>
              <w:rPr>
                <w:rFonts w:ascii="Ping LCG Regular" w:hAnsi="Ping LCG Regular"/>
                <w:sz w:val="20"/>
                <w:szCs w:val="20"/>
              </w:rPr>
            </w:pPr>
            <w:r>
              <w:rPr>
                <w:rFonts w:ascii="Ping LCG Regular" w:hAnsi="Ping LCG Regular"/>
                <w:sz w:val="20"/>
                <w:szCs w:val="20"/>
              </w:rPr>
              <w:t xml:space="preserve">   </w:t>
            </w:r>
            <w:r w:rsidR="00145FF1" w:rsidRPr="00E83D5B">
              <w:rPr>
                <w:rFonts w:ascii="Ping LCG Regular" w:hAnsi="Ping LCG Regular"/>
                <w:sz w:val="20"/>
                <w:szCs w:val="20"/>
              </w:rPr>
              <w:t xml:space="preserve"> </w:t>
            </w:r>
            <w:r>
              <w:rPr>
                <w:rFonts w:ascii="Ping LCG Regular" w:hAnsi="Ping LCG Regular"/>
                <w:sz w:val="20"/>
                <w:szCs w:val="20"/>
              </w:rPr>
              <w:t xml:space="preserve"> </w:t>
            </w:r>
          </w:p>
        </w:tc>
      </w:tr>
    </w:tbl>
    <w:p w14:paraId="2F9DCDA8" w14:textId="77777777" w:rsidR="00145FF1" w:rsidRPr="00E83D5B" w:rsidRDefault="00145FF1" w:rsidP="00145FF1">
      <w:pPr>
        <w:pStyle w:val="DehPressRelease"/>
        <w:spacing w:after="0" w:line="240" w:lineRule="auto"/>
        <w:jc w:val="both"/>
        <w:rPr>
          <w:b/>
          <w:bCs/>
          <w:sz w:val="20"/>
          <w:szCs w:val="20"/>
          <w:lang w:val="en-US"/>
        </w:rPr>
      </w:pPr>
    </w:p>
    <w:p w14:paraId="53E77D8C" w14:textId="6A95DC15" w:rsidR="00145FF1" w:rsidRPr="00E83D5B" w:rsidRDefault="00145FF1" w:rsidP="00145FF1">
      <w:pPr>
        <w:jc w:val="both"/>
        <w:rPr>
          <w:rFonts w:ascii="Ping LCG Regular" w:hAnsi="Ping LCG Regular"/>
          <w:sz w:val="20"/>
          <w:szCs w:val="20"/>
          <w:lang w:val="el-GR"/>
        </w:rPr>
      </w:pPr>
      <w:r w:rsidRPr="00E83D5B">
        <w:rPr>
          <w:rFonts w:ascii="Ping LCG Regular" w:hAnsi="Ping LCG Regular"/>
          <w:sz w:val="20"/>
          <w:szCs w:val="20"/>
          <w:lang w:val="el-GR"/>
        </w:rPr>
        <w:t>Το Δελτίο Τύπου είναι διαθέσιμο στον διαδικτυακό τόπο της ΔΕΗ Α.Ε (</w:t>
      </w:r>
      <w:r w:rsidRPr="00E83D5B">
        <w:rPr>
          <w:rFonts w:ascii="Ping LCG Regular" w:hAnsi="Ping LCG Regular"/>
          <w:sz w:val="20"/>
          <w:szCs w:val="20"/>
        </w:rPr>
        <w:t>ppcgroup</w:t>
      </w:r>
      <w:r w:rsidRPr="00E83D5B">
        <w:rPr>
          <w:rFonts w:ascii="Ping LCG Regular" w:hAnsi="Ping LCG Regular"/>
          <w:sz w:val="20"/>
          <w:szCs w:val="20"/>
          <w:lang w:val="el-GR"/>
        </w:rPr>
        <w:t>.</w:t>
      </w:r>
      <w:r w:rsidRPr="00E83D5B">
        <w:rPr>
          <w:rFonts w:ascii="Ping LCG Regular" w:hAnsi="Ping LCG Regular"/>
          <w:sz w:val="20"/>
          <w:szCs w:val="20"/>
        </w:rPr>
        <w:t>com</w:t>
      </w:r>
      <w:r w:rsidRPr="00E83D5B">
        <w:rPr>
          <w:rFonts w:ascii="Ping LCG Regular" w:hAnsi="Ping LCG Regular"/>
          <w:sz w:val="20"/>
          <w:szCs w:val="20"/>
          <w:lang w:val="el-GR"/>
        </w:rPr>
        <w:t>) στην ενότητα “Επενδυτικές Σχέσεις”.</w:t>
      </w:r>
    </w:p>
    <w:p w14:paraId="72C843B1" w14:textId="77777777" w:rsidR="00145FF1" w:rsidRPr="00DE2285" w:rsidRDefault="00145FF1" w:rsidP="00145FF1">
      <w:pPr>
        <w:jc w:val="both"/>
        <w:rPr>
          <w:rFonts w:ascii="Ping LCG Regular" w:hAnsi="Ping LCG Regular"/>
          <w:sz w:val="20"/>
          <w:szCs w:val="20"/>
          <w:highlight w:val="yellow"/>
          <w:lang w:val="el-GR"/>
        </w:rPr>
      </w:pPr>
    </w:p>
    <w:p w14:paraId="07D9C35B" w14:textId="77777777" w:rsidR="00145FF1" w:rsidRPr="00DE2285" w:rsidRDefault="00145FF1" w:rsidP="00145FF1">
      <w:pPr>
        <w:jc w:val="both"/>
        <w:rPr>
          <w:rFonts w:ascii="Ping LCG Regular" w:hAnsi="Ping LCG Regular"/>
          <w:sz w:val="22"/>
          <w:szCs w:val="22"/>
          <w:highlight w:val="yellow"/>
          <w:lang w:val="el-GR"/>
        </w:rPr>
      </w:pPr>
    </w:p>
    <w:p w14:paraId="48283CD2" w14:textId="3E794713" w:rsidR="00145FF1" w:rsidRPr="00DE2285" w:rsidRDefault="00145FF1" w:rsidP="00145FF1">
      <w:pPr>
        <w:rPr>
          <w:rFonts w:ascii="Ping LCG Regular" w:hAnsi="Ping LCG Regular"/>
          <w:b/>
          <w:bCs/>
          <w:sz w:val="20"/>
          <w:szCs w:val="20"/>
          <w:highlight w:val="yellow"/>
          <w:lang w:val="el-GR"/>
        </w:rPr>
      </w:pPr>
    </w:p>
    <w:p w14:paraId="4AB2180F" w14:textId="77777777" w:rsidR="00145FF1" w:rsidRPr="00CC1B63" w:rsidRDefault="00145FF1" w:rsidP="00145FF1">
      <w:pPr>
        <w:spacing w:after="200" w:line="276" w:lineRule="auto"/>
        <w:jc w:val="both"/>
        <w:rPr>
          <w:rFonts w:ascii="Ping LCG Regular" w:hAnsi="Ping LCG Regular"/>
          <w:b/>
          <w:bCs/>
          <w:sz w:val="20"/>
          <w:szCs w:val="20"/>
          <w:lang w:val="el-GR"/>
        </w:rPr>
      </w:pPr>
      <w:r w:rsidRPr="00CC1B63">
        <w:rPr>
          <w:rFonts w:ascii="Ping LCG Regular" w:hAnsi="Ping LCG Regular"/>
          <w:b/>
          <w:bCs/>
          <w:sz w:val="20"/>
          <w:szCs w:val="20"/>
          <w:lang w:val="el-GR"/>
        </w:rPr>
        <w:t>Σχετικά με τη Δημόσια Επιχείρηση Ηλεκτρισμού Α.Ε.</w:t>
      </w:r>
    </w:p>
    <w:p w14:paraId="2D51D423" w14:textId="77777777" w:rsidR="00145FF1" w:rsidRPr="00CC1B63" w:rsidRDefault="00145FF1" w:rsidP="00145FF1">
      <w:pPr>
        <w:spacing w:after="120"/>
        <w:jc w:val="both"/>
        <w:rPr>
          <w:rFonts w:ascii="Ping LCG Regular" w:hAnsi="Ping LCG Regular"/>
          <w:sz w:val="20"/>
          <w:szCs w:val="20"/>
          <w:lang w:val="el-GR"/>
        </w:rPr>
      </w:pPr>
      <w:r w:rsidRPr="00CC1B63">
        <w:rPr>
          <w:rFonts w:ascii="Ping LCG Regular" w:hAnsi="Ping LCG Regular"/>
          <w:sz w:val="20"/>
          <w:szCs w:val="20"/>
          <w:lang w:val="el-GR"/>
        </w:rPr>
        <w:t xml:space="preserve">Η ΔΕΗ είναι η κορυφαία εταιρεία ενέργειας στην Νοτιοανατολική Ευρώπη, με δραστηριότητες στην παραγωγή, διανομή και  πώληση προηγμένων προϊόντων και υπηρεσιών ενέργειας στην Ελλάδα, την Ρουμανία και την Βόρεια Μακεδονία. </w:t>
      </w:r>
    </w:p>
    <w:p w14:paraId="374410A4" w14:textId="45856CF9" w:rsidR="00145FF1" w:rsidRPr="00CC1B63" w:rsidRDefault="00145FF1" w:rsidP="00145FF1">
      <w:pPr>
        <w:spacing w:after="120"/>
        <w:jc w:val="both"/>
        <w:rPr>
          <w:rFonts w:ascii="Ping LCG Regular" w:hAnsi="Ping LCG Regular"/>
          <w:sz w:val="20"/>
          <w:szCs w:val="20"/>
          <w:lang w:val="el-GR"/>
        </w:rPr>
      </w:pPr>
      <w:r w:rsidRPr="00CC1B63">
        <w:rPr>
          <w:rFonts w:ascii="Ping LCG Regular" w:hAnsi="Ping LCG Regular"/>
          <w:sz w:val="20"/>
          <w:szCs w:val="20"/>
          <w:lang w:val="el-GR"/>
        </w:rPr>
        <w:t>Το παραγωγικό δυναμικό της ΔΕΗ ανέρχεται σε 1</w:t>
      </w:r>
      <w:r w:rsidR="00EC3248">
        <w:rPr>
          <w:rFonts w:ascii="Ping LCG Regular" w:hAnsi="Ping LCG Regular"/>
          <w:sz w:val="20"/>
          <w:szCs w:val="20"/>
          <w:lang w:val="el-GR"/>
        </w:rPr>
        <w:t>1,5</w:t>
      </w:r>
      <w:r w:rsidRPr="00CC1B63">
        <w:rPr>
          <w:rFonts w:ascii="Ping LCG Regular" w:hAnsi="Ping LCG Regular"/>
          <w:sz w:val="20"/>
          <w:szCs w:val="20"/>
          <w:lang w:val="el-GR"/>
        </w:rPr>
        <w:t xml:space="preserve">GW, με θερμικούς, υδροηλεκτρικούς σταθμούς και εγκαταστάσεις Ανανεώσιμων Πηγών Ενέργειας με συνολική ετήσια παραγωγή ενέργειας </w:t>
      </w:r>
      <w:r w:rsidR="00971F31">
        <w:rPr>
          <w:rFonts w:ascii="Ping LCG Regular" w:hAnsi="Ping LCG Regular"/>
          <w:sz w:val="20"/>
          <w:szCs w:val="20"/>
          <w:lang w:val="el-GR"/>
        </w:rPr>
        <w:t>περίπου</w:t>
      </w:r>
      <w:r w:rsidRPr="00CC1B63">
        <w:rPr>
          <w:rFonts w:ascii="Ping LCG Regular" w:hAnsi="Ping LCG Regular"/>
          <w:sz w:val="20"/>
          <w:szCs w:val="20"/>
          <w:lang w:val="el-GR"/>
        </w:rPr>
        <w:t xml:space="preserve"> 2</w:t>
      </w:r>
      <w:r w:rsidR="00206AF8">
        <w:rPr>
          <w:rFonts w:ascii="Ping LCG Regular" w:hAnsi="Ping LCG Regular"/>
          <w:sz w:val="20"/>
          <w:szCs w:val="20"/>
          <w:lang w:val="el-GR"/>
        </w:rPr>
        <w:t>1</w:t>
      </w:r>
      <w:r w:rsidRPr="00CC1B63">
        <w:rPr>
          <w:rFonts w:ascii="Ping LCG Regular" w:hAnsi="Ping LCG Regular"/>
          <w:sz w:val="20"/>
          <w:szCs w:val="20"/>
          <w:lang w:val="el-GR"/>
        </w:rPr>
        <w:t xml:space="preserve">TWh, ενώ η συνολική Ρυθμιζόμενη Περιουσιακή Βάση  στα δίκτυα διανομής, ανέρχεται σε περίπου €4,3 δισ. </w:t>
      </w:r>
    </w:p>
    <w:p w14:paraId="493F39D2" w14:textId="21C6F50E" w:rsidR="00145FF1" w:rsidRPr="00CC1B63" w:rsidRDefault="00145FF1" w:rsidP="00145FF1">
      <w:pPr>
        <w:spacing w:after="120"/>
        <w:jc w:val="both"/>
        <w:rPr>
          <w:rFonts w:ascii="Ping LCG Regular" w:hAnsi="Ping LCG Regular"/>
          <w:sz w:val="20"/>
          <w:szCs w:val="20"/>
          <w:lang w:val="el-GR"/>
        </w:rPr>
      </w:pPr>
      <w:r w:rsidRPr="00CC1B63">
        <w:rPr>
          <w:rFonts w:ascii="Ping LCG Regular" w:hAnsi="Ping LCG Regular"/>
          <w:sz w:val="20"/>
          <w:szCs w:val="20"/>
          <w:lang w:val="el-GR"/>
        </w:rPr>
        <w:t>Ο Όμιλος ΔΕΗ αποτελεί τον  μεγαλύτερο προμηθευτή ηλεκτρικής ενέργειας στην Ελλάδα και τη Ρουμανία, εξυπηρετώντας 8,</w:t>
      </w:r>
      <w:r w:rsidR="00971F31">
        <w:rPr>
          <w:rFonts w:ascii="Ping LCG Regular" w:hAnsi="Ping LCG Regular"/>
          <w:sz w:val="20"/>
          <w:szCs w:val="20"/>
          <w:lang w:val="el-GR"/>
        </w:rPr>
        <w:t>8</w:t>
      </w:r>
      <w:r w:rsidRPr="00CC1B63">
        <w:rPr>
          <w:rFonts w:ascii="Ping LCG Regular" w:hAnsi="Ping LCG Regular"/>
          <w:sz w:val="20"/>
          <w:szCs w:val="20"/>
          <w:lang w:val="el-GR"/>
        </w:rPr>
        <w:t xml:space="preserve"> εκατ. πελάτες στους οποίους παρέχει περίπου 3</w:t>
      </w:r>
      <w:r w:rsidR="00971F31">
        <w:rPr>
          <w:rFonts w:ascii="Ping LCG Regular" w:hAnsi="Ping LCG Regular"/>
          <w:sz w:val="20"/>
          <w:szCs w:val="20"/>
          <w:lang w:val="el-GR"/>
        </w:rPr>
        <w:t>3</w:t>
      </w:r>
      <w:r w:rsidRPr="00CC1B63">
        <w:rPr>
          <w:rFonts w:ascii="Ping LCG Regular" w:hAnsi="Ping LCG Regular"/>
          <w:sz w:val="20"/>
          <w:szCs w:val="20"/>
          <w:lang w:val="el-GR"/>
        </w:rPr>
        <w:t>TWh</w:t>
      </w:r>
      <w:r w:rsidRPr="00CC1B63">
        <w:rPr>
          <w:rFonts w:ascii="Ping LCG Regular" w:hAnsi="Ping LCG Regular"/>
          <w:color w:val="FF0000"/>
          <w:sz w:val="20"/>
          <w:szCs w:val="20"/>
          <w:lang w:val="el-GR"/>
        </w:rPr>
        <w:t xml:space="preserve"> </w:t>
      </w:r>
      <w:r w:rsidRPr="00CC1B63">
        <w:rPr>
          <w:rFonts w:ascii="Ping LCG Regular" w:hAnsi="Ping LCG Regular"/>
          <w:sz w:val="20"/>
          <w:szCs w:val="20"/>
          <w:lang w:val="el-GR"/>
        </w:rPr>
        <w:t xml:space="preserve">ενέργειας και μία ευρεία σειρά ενεργειακών προϊόντων και υπηρεσιών. </w:t>
      </w:r>
    </w:p>
    <w:p w14:paraId="199A09C1" w14:textId="77777777" w:rsidR="00145FF1" w:rsidRPr="00CC1B63" w:rsidRDefault="00145FF1" w:rsidP="00145FF1">
      <w:pPr>
        <w:spacing w:after="120"/>
        <w:jc w:val="both"/>
        <w:rPr>
          <w:rFonts w:ascii="Ping LCG Regular" w:hAnsi="Ping LCG Regular"/>
          <w:sz w:val="20"/>
          <w:szCs w:val="20"/>
          <w:lang w:val="el-GR"/>
        </w:rPr>
      </w:pPr>
      <w:r w:rsidRPr="00CC1B63">
        <w:rPr>
          <w:rFonts w:ascii="Ping LCG Regular" w:hAnsi="Ping LCG Regular"/>
          <w:sz w:val="20"/>
          <w:szCs w:val="20"/>
          <w:lang w:val="el-GR"/>
        </w:rPr>
        <w:t>Η ΔΕΗ ιδρύθηκε το 1950 και είναι εισηγμένη στο Χρηματιστήριο Αθηνών από το 2001.</w:t>
      </w:r>
    </w:p>
    <w:p w14:paraId="4574EA22" w14:textId="77777777" w:rsidR="00145FF1" w:rsidRPr="00DE2285" w:rsidRDefault="00145FF1" w:rsidP="00145FF1">
      <w:pPr>
        <w:jc w:val="both"/>
        <w:rPr>
          <w:rFonts w:ascii="Ping LCG Regular" w:hAnsi="Ping LCG Regular"/>
          <w:sz w:val="22"/>
          <w:szCs w:val="22"/>
          <w:highlight w:val="yellow"/>
          <w:lang w:val="el-GR"/>
        </w:rPr>
      </w:pPr>
    </w:p>
    <w:p w14:paraId="3146FCF5" w14:textId="77777777" w:rsidR="00145FF1" w:rsidRPr="001B497A" w:rsidRDefault="00145FF1" w:rsidP="00145FF1">
      <w:pPr>
        <w:jc w:val="both"/>
        <w:rPr>
          <w:rFonts w:ascii="Ping LCG Regular" w:hAnsi="Ping LCG Regular"/>
          <w:sz w:val="22"/>
          <w:szCs w:val="22"/>
          <w:lang w:val="el-GR"/>
        </w:rPr>
      </w:pPr>
    </w:p>
    <w:p w14:paraId="253843F0" w14:textId="371CA5A9" w:rsidR="00633C98" w:rsidRDefault="00633C98">
      <w:pPr>
        <w:rPr>
          <w:rFonts w:ascii="Ping LCG Regular" w:hAnsi="Ping LCG Regular"/>
          <w:b/>
          <w:bCs/>
          <w:sz w:val="18"/>
          <w:szCs w:val="18"/>
          <w:lang w:val="el-GR"/>
        </w:rPr>
      </w:pPr>
    </w:p>
    <w:p w14:paraId="0B631E58" w14:textId="36FD0F14" w:rsidR="00145FF1" w:rsidRPr="001B497A" w:rsidRDefault="00145FF1" w:rsidP="00145FF1">
      <w:pPr>
        <w:jc w:val="both"/>
        <w:rPr>
          <w:rFonts w:ascii="Ping LCG Regular" w:hAnsi="Ping LCG Regular"/>
          <w:b/>
          <w:bCs/>
          <w:sz w:val="18"/>
          <w:szCs w:val="18"/>
          <w:lang w:val="el-GR"/>
        </w:rPr>
      </w:pPr>
      <w:r w:rsidRPr="001B497A">
        <w:rPr>
          <w:rFonts w:ascii="Ping LCG Regular" w:hAnsi="Ping LCG Regular"/>
          <w:b/>
          <w:bCs/>
          <w:sz w:val="18"/>
          <w:szCs w:val="18"/>
          <w:lang w:val="el-GR"/>
        </w:rPr>
        <w:t>Δήλωση αποποίησης ευθύνης</w:t>
      </w:r>
    </w:p>
    <w:p w14:paraId="748FD98D" w14:textId="77777777" w:rsidR="00145FF1" w:rsidRPr="001B497A" w:rsidRDefault="00145FF1" w:rsidP="00145FF1">
      <w:pPr>
        <w:jc w:val="both"/>
        <w:rPr>
          <w:rFonts w:ascii="Ping LCG Regular" w:hAnsi="Ping LCG Regular"/>
          <w:sz w:val="18"/>
          <w:szCs w:val="18"/>
          <w:lang w:val="el-GR"/>
        </w:rPr>
      </w:pPr>
      <w:r w:rsidRPr="001B497A">
        <w:rPr>
          <w:rFonts w:ascii="Ping LCG Regular" w:hAnsi="Ping LCG Regular"/>
          <w:sz w:val="18"/>
          <w:szCs w:val="18"/>
          <w:lang w:val="el-GR"/>
        </w:rPr>
        <w:t>Ορισμένες πληροφορίες που περιέχονται στην παρούσα ανακοίνωση, συμπεριλαμβανομένων των μελλοντικών EBITDA, των κερδών, των δαπανών και άλλων οικονομικών μέτρων που αφορούν σε μελλοντικές περιόδους, βασίζονται σε τρέχουσες προσδοκίες και παραδοχές σχετικά με μελλοντικά γεγονότα. Οι χρηματοοικονομικοί δείκτες που αναφέρονται σε μελλοντικές περιόδους βασίζονται σε τρέχουσες εύλογες και καλόπιστες παραδοχές. Δεν παρέχουμε καμία διαβεβαίωση ότι οι εν λόγω χρηματοοικονομικοί δείκτες θα επιτευχθούν.</w:t>
      </w:r>
    </w:p>
    <w:p w14:paraId="4D99F048" w14:textId="77777777" w:rsidR="00145FF1" w:rsidRPr="001B497A" w:rsidRDefault="00145FF1" w:rsidP="00145FF1">
      <w:pPr>
        <w:jc w:val="both"/>
        <w:rPr>
          <w:rFonts w:ascii="Ping LCG Regular" w:hAnsi="Ping LCG Regular"/>
          <w:sz w:val="18"/>
          <w:szCs w:val="18"/>
          <w:lang w:val="el-GR"/>
        </w:rPr>
      </w:pPr>
    </w:p>
    <w:p w14:paraId="25A3CFF3" w14:textId="27640B45" w:rsidR="00145FF1" w:rsidRPr="001B497A" w:rsidRDefault="00145FF1" w:rsidP="00145FF1">
      <w:pPr>
        <w:jc w:val="both"/>
        <w:rPr>
          <w:rFonts w:ascii="Ping LCG Regular" w:hAnsi="Ping LCG Regular"/>
          <w:sz w:val="18"/>
          <w:szCs w:val="18"/>
          <w:lang w:val="el-GR"/>
        </w:rPr>
      </w:pPr>
      <w:r w:rsidRPr="001B497A">
        <w:rPr>
          <w:rFonts w:ascii="Ping LCG Regular" w:hAnsi="Ping LCG Regular"/>
          <w:sz w:val="18"/>
          <w:szCs w:val="18"/>
          <w:lang w:val="el-GR"/>
        </w:rPr>
        <w:t xml:space="preserve">Αυτές οι δηλώσεις που αφορούν μελλοντικά γεγονότα υπόκεινται, μεταξύ άλλων, i) στους επιχειρηματικούς, οικονομικούς και ανταγωνιστικούς κινδύνους, ii) στις μακροοικονομικές συνθήκες, iii) </w:t>
      </w:r>
      <w:r w:rsidR="008B03C0" w:rsidRPr="008B03C0">
        <w:rPr>
          <w:rFonts w:ascii="Ping LCG Regular" w:hAnsi="Ping LCG Regular"/>
          <w:sz w:val="18"/>
          <w:szCs w:val="18"/>
          <w:lang w:val="el-GR"/>
        </w:rPr>
        <w:t>στη διακύμανση του ευρώ έναντι των συναλλαγματικών ισοτιμιών του δολαρίου ΗΠΑ και του LEU Ρουμανίας</w:t>
      </w:r>
      <w:r w:rsidRPr="001B497A">
        <w:rPr>
          <w:rFonts w:ascii="Ping LCG Regular" w:hAnsi="Ping LCG Regular"/>
          <w:color w:val="000000" w:themeColor="text1"/>
          <w:sz w:val="18"/>
          <w:szCs w:val="18"/>
          <w:lang w:val="el-GR"/>
        </w:rPr>
        <w:t>, iv) στις τιμές πετρελαίου</w:t>
      </w:r>
      <w:r w:rsidRPr="001B497A">
        <w:rPr>
          <w:rFonts w:ascii="Ping LCG Regular" w:hAnsi="Ping LCG Regular"/>
          <w:sz w:val="18"/>
          <w:szCs w:val="18"/>
          <w:lang w:val="el-GR"/>
        </w:rPr>
        <w:t>, φυσικού αερίου και ηλεκτρικής ενέργειας και στην τιμή των δικαιωμάτων εκπομπών CO</w:t>
      </w:r>
      <w:r w:rsidRPr="001B497A">
        <w:rPr>
          <w:rFonts w:ascii="Ping LCG Regular" w:hAnsi="Ping LCG Regular"/>
          <w:sz w:val="18"/>
          <w:szCs w:val="18"/>
          <w:vertAlign w:val="subscript"/>
          <w:lang w:val="el-GR"/>
        </w:rPr>
        <w:t>2</w:t>
      </w:r>
      <w:r w:rsidRPr="001B497A">
        <w:rPr>
          <w:rFonts w:ascii="Ping LCG Regular" w:hAnsi="Ping LCG Regular"/>
          <w:sz w:val="18"/>
          <w:szCs w:val="18"/>
          <w:lang w:val="el-GR"/>
        </w:rPr>
        <w:t xml:space="preserve">, v) στις αλλαγές του τοπίου της αγοράς και του νομικού, κανονιστικού, φορολογικού και δημοσιονομικού τοπίου, vi) στην εξέλιξη του επισφαλούς χρέους, και vii) άλλες αβεβαιότητες και απρόβλεπτες καταστάσεις, οι οποίες σχετίζονται με παράγοντες που η ΔΕΗ δεν είναι σε θέση να ελέγξει ή να εκτιμήσει με ακρίβεια, και οι οποίοι θα μπορούσαν να έχουν ως αποτέλεσμα την ουσιαστική διαφοροποίηση των πραγματικών γεγονότων ή των αποτελεσμάτων από εκείνα που εκφράζονται στην ανακοίνωση. Ως εκ τούτου, δεν θα πρέπει να βασίζεστε υπέρ του δέοντος σε αυτές τις δηλώσεις που αφορούν μελλοντικά γεγονότα, οι οποίες αφορούν μόνον την ημερομηνία της παρούσας ανακοίνωσης. </w:t>
      </w:r>
    </w:p>
    <w:p w14:paraId="186D764B" w14:textId="77777777" w:rsidR="00145FF1" w:rsidRPr="001B497A" w:rsidRDefault="00145FF1" w:rsidP="00145FF1">
      <w:pPr>
        <w:jc w:val="both"/>
        <w:rPr>
          <w:rFonts w:ascii="Ping LCG Regular" w:hAnsi="Ping LCG Regular"/>
          <w:sz w:val="18"/>
          <w:szCs w:val="18"/>
          <w:lang w:val="el-GR"/>
        </w:rPr>
      </w:pPr>
    </w:p>
    <w:p w14:paraId="3A5FECFE" w14:textId="77777777" w:rsidR="00145FF1" w:rsidRPr="001B497A" w:rsidRDefault="00145FF1" w:rsidP="00145FF1">
      <w:pPr>
        <w:jc w:val="both"/>
        <w:rPr>
          <w:rFonts w:ascii="Ping LCG Regular" w:hAnsi="Ping LCG Regular"/>
          <w:sz w:val="18"/>
          <w:szCs w:val="18"/>
          <w:lang w:val="el-GR"/>
        </w:rPr>
      </w:pPr>
      <w:r w:rsidRPr="001B497A">
        <w:rPr>
          <w:rFonts w:ascii="Ping LCG Regular" w:hAnsi="Ping LCG Regular"/>
          <w:sz w:val="18"/>
          <w:szCs w:val="18"/>
          <w:lang w:val="el-GR"/>
        </w:rPr>
        <w:t>Η ΔΕΗ δεν αναλαμβάνει καμία υποχρέωση να δημοσιοποιήσει τυχόν αναθεωρήσεις αυτών των δηλώσεων ώστε να αντικατοπτρίζουν γεγονότα ή περιστάσεις μετά την ημερομηνία της παρούσας ανακοίνωσης.</w:t>
      </w:r>
    </w:p>
    <w:p w14:paraId="0D13ACA2" w14:textId="77777777" w:rsidR="00145FF1" w:rsidRPr="001B497A" w:rsidRDefault="00145FF1" w:rsidP="00145FF1">
      <w:pPr>
        <w:jc w:val="both"/>
        <w:rPr>
          <w:rFonts w:ascii="Ping LCG Regular" w:hAnsi="Ping LCG Regular"/>
          <w:color w:val="FF0000"/>
          <w:sz w:val="20"/>
          <w:szCs w:val="20"/>
          <w:lang w:val="el-GR"/>
        </w:rPr>
      </w:pPr>
    </w:p>
    <w:p w14:paraId="46D28CF5" w14:textId="77777777" w:rsidR="00145FF1" w:rsidRPr="001B497A" w:rsidRDefault="00145FF1" w:rsidP="00145FF1">
      <w:pPr>
        <w:rPr>
          <w:rFonts w:ascii="Ping LCG Regular" w:hAnsi="Ping LCG Regular"/>
          <w:b/>
          <w:bCs/>
          <w:color w:val="FF0000"/>
          <w:sz w:val="20"/>
          <w:szCs w:val="20"/>
          <w:lang w:val="el-GR"/>
        </w:rPr>
      </w:pPr>
      <w:r w:rsidRPr="001B497A">
        <w:rPr>
          <w:rFonts w:ascii="Ping LCG Regular" w:hAnsi="Ping LCG Regular"/>
          <w:b/>
          <w:bCs/>
          <w:color w:val="FF0000"/>
          <w:sz w:val="20"/>
          <w:szCs w:val="20"/>
          <w:lang w:val="el-GR"/>
        </w:rPr>
        <w:br w:type="page"/>
      </w:r>
    </w:p>
    <w:p w14:paraId="16765F22" w14:textId="67B8BAB9" w:rsidR="00145FF1" w:rsidRPr="001B497A" w:rsidRDefault="00145FF1" w:rsidP="00145FF1">
      <w:pPr>
        <w:jc w:val="both"/>
        <w:rPr>
          <w:rFonts w:ascii="Ping LCG Regular" w:hAnsi="Ping LCG Regular"/>
          <w:b/>
          <w:bCs/>
          <w:sz w:val="20"/>
          <w:szCs w:val="20"/>
          <w:lang w:val="el-GR"/>
        </w:rPr>
      </w:pPr>
      <w:r w:rsidRPr="001B497A">
        <w:rPr>
          <w:rFonts w:ascii="Ping LCG Regular" w:hAnsi="Ping LCG Regular"/>
          <w:b/>
          <w:bCs/>
          <w:sz w:val="20"/>
          <w:szCs w:val="20"/>
          <w:lang w:val="el-GR"/>
        </w:rPr>
        <w:lastRenderedPageBreak/>
        <w:t xml:space="preserve">ΠΑΡΑΡΤΗΜΑ </w:t>
      </w:r>
      <w:r w:rsidR="00EE236D">
        <w:rPr>
          <w:rFonts w:ascii="Ping LCG Regular" w:hAnsi="Ping LCG Regular"/>
          <w:b/>
          <w:bCs/>
          <w:sz w:val="20"/>
          <w:szCs w:val="20"/>
        </w:rPr>
        <w:t>I</w:t>
      </w:r>
      <w:r w:rsidR="00EE236D" w:rsidRPr="00EE236D">
        <w:rPr>
          <w:rFonts w:ascii="Ping LCG Regular" w:hAnsi="Ping LCG Regular"/>
          <w:b/>
          <w:bCs/>
          <w:sz w:val="20"/>
          <w:szCs w:val="20"/>
          <w:lang w:val="el-GR"/>
        </w:rPr>
        <w:t xml:space="preserve"> </w:t>
      </w:r>
      <w:r w:rsidRPr="001B497A">
        <w:rPr>
          <w:rFonts w:ascii="Ping LCG Regular" w:hAnsi="Ping LCG Regular"/>
          <w:b/>
          <w:bCs/>
          <w:sz w:val="20"/>
          <w:szCs w:val="20"/>
          <w:lang w:val="el-GR"/>
        </w:rPr>
        <w:t>– ΣΥΝΟΠΤΙΚΕΣ ΕΝΟΠΟΙΗΜΕΝΕΣ ΟΙΚΟΝΟΜΙΚΕΣ ΚΑΤΑΣΤΑΣΕΙΣ</w:t>
      </w:r>
    </w:p>
    <w:p w14:paraId="562C63CE" w14:textId="77777777" w:rsidR="00145FF1" w:rsidRPr="001B497A" w:rsidRDefault="00145FF1" w:rsidP="00145FF1">
      <w:pPr>
        <w:jc w:val="both"/>
        <w:rPr>
          <w:rFonts w:ascii="Ping LCG Regular" w:hAnsi="Ping LCG Regular"/>
          <w:b/>
          <w:bCs/>
          <w:sz w:val="20"/>
          <w:szCs w:val="20"/>
          <w:lang w:val="el-GR"/>
        </w:rPr>
      </w:pPr>
    </w:p>
    <w:p w14:paraId="7FFDC879" w14:textId="31DED837" w:rsidR="00145FF1" w:rsidRDefault="00145FF1" w:rsidP="00145FF1">
      <w:pPr>
        <w:jc w:val="both"/>
        <w:rPr>
          <w:rFonts w:ascii="Ping LCG Regular" w:hAnsi="Ping LCG Regular"/>
          <w:b/>
          <w:sz w:val="20"/>
          <w:szCs w:val="20"/>
          <w:lang w:val="el-GR"/>
        </w:rPr>
      </w:pPr>
      <w:r w:rsidRPr="001B497A">
        <w:rPr>
          <w:rFonts w:ascii="Ping LCG Regular" w:hAnsi="Ping LCG Regular"/>
          <w:b/>
          <w:sz w:val="20"/>
          <w:szCs w:val="20"/>
          <w:lang w:val="el-GR"/>
        </w:rPr>
        <w:t>Ενοποιημένη Κατάσταση  Χρηματοοικονομικής Θέσης (Συνοπτική)</w:t>
      </w:r>
      <w:r w:rsidR="00DD0475" w:rsidRPr="00EF39B8">
        <w:rPr>
          <w:rStyle w:val="ae"/>
          <w:rFonts w:ascii="Ping LCG Regular" w:hAnsi="Ping LCG Regular"/>
          <w:b/>
          <w:color w:val="FFFFFF" w:themeColor="background1"/>
          <w:sz w:val="20"/>
          <w:szCs w:val="20"/>
          <w:lang w:val="el-GR"/>
        </w:rPr>
        <w:footnoteReference w:id="9"/>
      </w:r>
      <w:r w:rsidRPr="001B497A">
        <w:rPr>
          <w:rFonts w:ascii="Ping LCG Regular" w:hAnsi="Ping LCG Regular"/>
          <w:b/>
          <w:sz w:val="20"/>
          <w:szCs w:val="20"/>
          <w:lang w:val="el-GR"/>
        </w:rPr>
        <w:t xml:space="preserve"> </w:t>
      </w:r>
    </w:p>
    <w:p w14:paraId="48A95506" w14:textId="77777777" w:rsidR="00B703E1" w:rsidRPr="001B497A" w:rsidRDefault="00B703E1" w:rsidP="00145FF1">
      <w:pPr>
        <w:jc w:val="both"/>
        <w:rPr>
          <w:rFonts w:ascii="Ping LCG Regular" w:hAnsi="Ping LCG Regular"/>
          <w:b/>
          <w:sz w:val="20"/>
          <w:szCs w:val="20"/>
          <w:lang w:val="el-GR"/>
        </w:rPr>
      </w:pPr>
    </w:p>
    <w:p w14:paraId="62EF40A2" w14:textId="44B6831E" w:rsidR="001B497A" w:rsidRDefault="00285C8E">
      <w:pPr>
        <w:rPr>
          <w:rFonts w:ascii="Ping LCG Regular" w:hAnsi="Ping LCG Regular"/>
          <w:b/>
          <w:sz w:val="20"/>
          <w:szCs w:val="20"/>
          <w:lang w:val="el-GR"/>
        </w:rPr>
      </w:pPr>
      <w:r w:rsidRPr="00285C8E">
        <w:rPr>
          <w:noProof/>
        </w:rPr>
        <w:drawing>
          <wp:inline distT="0" distB="0" distL="0" distR="0" wp14:anchorId="069DB8C8" wp14:editId="722B1BF3">
            <wp:extent cx="5490210" cy="47161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0210" cy="4716145"/>
                    </a:xfrm>
                    <a:prstGeom prst="rect">
                      <a:avLst/>
                    </a:prstGeom>
                    <a:noFill/>
                    <a:ln>
                      <a:noFill/>
                    </a:ln>
                  </pic:spPr>
                </pic:pic>
              </a:graphicData>
            </a:graphic>
          </wp:inline>
        </w:drawing>
      </w:r>
    </w:p>
    <w:p w14:paraId="20327DB2" w14:textId="77777777" w:rsidR="00B51BB8" w:rsidRDefault="00B51BB8" w:rsidP="00145FF1">
      <w:pPr>
        <w:jc w:val="both"/>
        <w:rPr>
          <w:rFonts w:ascii="Ping LCG Regular" w:hAnsi="Ping LCG Regular"/>
          <w:b/>
          <w:sz w:val="20"/>
          <w:szCs w:val="20"/>
          <w:highlight w:val="yellow"/>
          <w:lang w:val="el-GR"/>
        </w:rPr>
      </w:pPr>
    </w:p>
    <w:p w14:paraId="5838407A" w14:textId="77777777" w:rsidR="00B51BB8" w:rsidRDefault="00B51BB8" w:rsidP="00145FF1">
      <w:pPr>
        <w:jc w:val="both"/>
        <w:rPr>
          <w:rFonts w:ascii="Ping LCG Regular" w:hAnsi="Ping LCG Regular"/>
          <w:b/>
          <w:sz w:val="20"/>
          <w:szCs w:val="20"/>
          <w:highlight w:val="yellow"/>
          <w:lang w:val="el-GR"/>
        </w:rPr>
      </w:pPr>
    </w:p>
    <w:p w14:paraId="02E77058" w14:textId="77777777" w:rsidR="00B51BB8" w:rsidRDefault="00B51BB8" w:rsidP="00145FF1">
      <w:pPr>
        <w:jc w:val="both"/>
        <w:rPr>
          <w:rFonts w:ascii="Ping LCG Regular" w:hAnsi="Ping LCG Regular"/>
          <w:b/>
          <w:sz w:val="20"/>
          <w:szCs w:val="20"/>
          <w:highlight w:val="yellow"/>
          <w:lang w:val="el-GR"/>
        </w:rPr>
      </w:pPr>
    </w:p>
    <w:p w14:paraId="50D30FBD" w14:textId="77777777" w:rsidR="00B51BB8" w:rsidRDefault="00B51BB8" w:rsidP="00145FF1">
      <w:pPr>
        <w:jc w:val="both"/>
        <w:rPr>
          <w:rFonts w:ascii="Ping LCG Regular" w:hAnsi="Ping LCG Regular"/>
          <w:b/>
          <w:sz w:val="20"/>
          <w:szCs w:val="20"/>
          <w:highlight w:val="yellow"/>
          <w:lang w:val="el-GR"/>
        </w:rPr>
      </w:pPr>
    </w:p>
    <w:p w14:paraId="64B7753E" w14:textId="77777777" w:rsidR="00B51BB8" w:rsidRDefault="00B51BB8" w:rsidP="00145FF1">
      <w:pPr>
        <w:jc w:val="both"/>
        <w:rPr>
          <w:rFonts w:ascii="Ping LCG Regular" w:hAnsi="Ping LCG Regular"/>
          <w:b/>
          <w:sz w:val="20"/>
          <w:szCs w:val="20"/>
          <w:highlight w:val="yellow"/>
          <w:lang w:val="el-GR"/>
        </w:rPr>
      </w:pPr>
    </w:p>
    <w:p w14:paraId="0646C163" w14:textId="77777777" w:rsidR="00B51BB8" w:rsidRDefault="00B51BB8" w:rsidP="00145FF1">
      <w:pPr>
        <w:jc w:val="both"/>
        <w:rPr>
          <w:rFonts w:ascii="Ping LCG Regular" w:hAnsi="Ping LCG Regular"/>
          <w:b/>
          <w:sz w:val="20"/>
          <w:szCs w:val="20"/>
          <w:highlight w:val="yellow"/>
          <w:lang w:val="el-GR"/>
        </w:rPr>
      </w:pPr>
    </w:p>
    <w:p w14:paraId="45E17D16" w14:textId="77777777" w:rsidR="00B51BB8" w:rsidRDefault="00B51BB8" w:rsidP="00145FF1">
      <w:pPr>
        <w:jc w:val="both"/>
        <w:rPr>
          <w:rFonts w:ascii="Ping LCG Regular" w:hAnsi="Ping LCG Regular"/>
          <w:b/>
          <w:sz w:val="20"/>
          <w:szCs w:val="20"/>
          <w:highlight w:val="yellow"/>
          <w:lang w:val="el-GR"/>
        </w:rPr>
      </w:pPr>
    </w:p>
    <w:p w14:paraId="698CBD1C" w14:textId="77777777" w:rsidR="00B51BB8" w:rsidRDefault="00B51BB8" w:rsidP="00145FF1">
      <w:pPr>
        <w:jc w:val="both"/>
        <w:rPr>
          <w:rFonts w:ascii="Ping LCG Regular" w:hAnsi="Ping LCG Regular"/>
          <w:b/>
          <w:sz w:val="20"/>
          <w:szCs w:val="20"/>
          <w:highlight w:val="yellow"/>
          <w:lang w:val="el-GR"/>
        </w:rPr>
      </w:pPr>
    </w:p>
    <w:p w14:paraId="00C1A30C" w14:textId="77777777" w:rsidR="00B51BB8" w:rsidRDefault="00B51BB8" w:rsidP="00145FF1">
      <w:pPr>
        <w:jc w:val="both"/>
        <w:rPr>
          <w:rFonts w:ascii="Ping LCG Regular" w:hAnsi="Ping LCG Regular"/>
          <w:b/>
          <w:sz w:val="20"/>
          <w:szCs w:val="20"/>
          <w:highlight w:val="yellow"/>
          <w:lang w:val="el-GR"/>
        </w:rPr>
      </w:pPr>
    </w:p>
    <w:p w14:paraId="5BC03BED" w14:textId="77777777" w:rsidR="00B51BB8" w:rsidRDefault="00B51BB8" w:rsidP="00145FF1">
      <w:pPr>
        <w:jc w:val="both"/>
        <w:rPr>
          <w:rFonts w:ascii="Ping LCG Regular" w:hAnsi="Ping LCG Regular"/>
          <w:b/>
          <w:sz w:val="20"/>
          <w:szCs w:val="20"/>
          <w:highlight w:val="yellow"/>
          <w:lang w:val="el-GR"/>
        </w:rPr>
      </w:pPr>
    </w:p>
    <w:p w14:paraId="70609317" w14:textId="77777777" w:rsidR="00B51BB8" w:rsidRDefault="00B51BB8" w:rsidP="00145FF1">
      <w:pPr>
        <w:jc w:val="both"/>
        <w:rPr>
          <w:rFonts w:ascii="Ping LCG Regular" w:hAnsi="Ping LCG Regular"/>
          <w:b/>
          <w:sz w:val="20"/>
          <w:szCs w:val="20"/>
          <w:highlight w:val="yellow"/>
          <w:lang w:val="el-GR"/>
        </w:rPr>
      </w:pPr>
    </w:p>
    <w:p w14:paraId="11B96777" w14:textId="77777777" w:rsidR="00B51BB8" w:rsidRDefault="00B51BB8" w:rsidP="00145FF1">
      <w:pPr>
        <w:jc w:val="both"/>
        <w:rPr>
          <w:rFonts w:ascii="Ping LCG Regular" w:hAnsi="Ping LCG Regular"/>
          <w:b/>
          <w:sz w:val="20"/>
          <w:szCs w:val="20"/>
          <w:highlight w:val="yellow"/>
          <w:lang w:val="el-GR"/>
        </w:rPr>
      </w:pPr>
    </w:p>
    <w:p w14:paraId="4E3AF34A" w14:textId="77777777" w:rsidR="00B51BB8" w:rsidRDefault="00B51BB8" w:rsidP="00145FF1">
      <w:pPr>
        <w:jc w:val="both"/>
        <w:rPr>
          <w:rFonts w:ascii="Ping LCG Regular" w:hAnsi="Ping LCG Regular"/>
          <w:b/>
          <w:sz w:val="20"/>
          <w:szCs w:val="20"/>
          <w:highlight w:val="yellow"/>
          <w:lang w:val="el-GR"/>
        </w:rPr>
      </w:pPr>
    </w:p>
    <w:p w14:paraId="7D164FB9" w14:textId="77777777" w:rsidR="00B51BB8" w:rsidRDefault="00B51BB8" w:rsidP="00145FF1">
      <w:pPr>
        <w:jc w:val="both"/>
        <w:rPr>
          <w:rFonts w:ascii="Ping LCG Regular" w:hAnsi="Ping LCG Regular"/>
          <w:b/>
          <w:sz w:val="20"/>
          <w:szCs w:val="20"/>
          <w:highlight w:val="yellow"/>
          <w:lang w:val="el-GR"/>
        </w:rPr>
      </w:pPr>
    </w:p>
    <w:p w14:paraId="12FE59D5" w14:textId="77777777" w:rsidR="00B51BB8" w:rsidRDefault="00B51BB8" w:rsidP="00145FF1">
      <w:pPr>
        <w:jc w:val="both"/>
        <w:rPr>
          <w:rFonts w:ascii="Ping LCG Regular" w:hAnsi="Ping LCG Regular"/>
          <w:b/>
          <w:sz w:val="20"/>
          <w:szCs w:val="20"/>
          <w:highlight w:val="yellow"/>
          <w:lang w:val="el-GR"/>
        </w:rPr>
      </w:pPr>
    </w:p>
    <w:p w14:paraId="1C82E114" w14:textId="77777777" w:rsidR="00B51BB8" w:rsidRDefault="00B51BB8" w:rsidP="00145FF1">
      <w:pPr>
        <w:jc w:val="both"/>
        <w:rPr>
          <w:rFonts w:ascii="Ping LCG Regular" w:hAnsi="Ping LCG Regular"/>
          <w:b/>
          <w:sz w:val="20"/>
          <w:szCs w:val="20"/>
          <w:highlight w:val="yellow"/>
          <w:lang w:val="el-GR"/>
        </w:rPr>
      </w:pPr>
    </w:p>
    <w:p w14:paraId="3795F45A" w14:textId="77777777" w:rsidR="00B51BB8" w:rsidRDefault="00B51BB8" w:rsidP="00145FF1">
      <w:pPr>
        <w:jc w:val="both"/>
        <w:rPr>
          <w:rFonts w:ascii="Ping LCG Regular" w:hAnsi="Ping LCG Regular"/>
          <w:b/>
          <w:sz w:val="20"/>
          <w:szCs w:val="20"/>
          <w:highlight w:val="yellow"/>
          <w:lang w:val="el-GR"/>
        </w:rPr>
      </w:pPr>
    </w:p>
    <w:p w14:paraId="48BB980E" w14:textId="77777777" w:rsidR="00B51BB8" w:rsidRDefault="00B51BB8" w:rsidP="00145FF1">
      <w:pPr>
        <w:jc w:val="both"/>
        <w:rPr>
          <w:rFonts w:ascii="Ping LCG Regular" w:hAnsi="Ping LCG Regular"/>
          <w:b/>
          <w:sz w:val="20"/>
          <w:szCs w:val="20"/>
          <w:highlight w:val="yellow"/>
          <w:lang w:val="el-GR"/>
        </w:rPr>
      </w:pPr>
    </w:p>
    <w:p w14:paraId="24F4DAD8" w14:textId="0C29DC6D" w:rsidR="00145FF1" w:rsidRPr="001B497A" w:rsidRDefault="00145FF1" w:rsidP="00145FF1">
      <w:pPr>
        <w:jc w:val="both"/>
        <w:rPr>
          <w:rFonts w:ascii="Ping LCG Regular" w:hAnsi="Ping LCG Regular"/>
          <w:b/>
          <w:sz w:val="20"/>
          <w:szCs w:val="20"/>
          <w:lang w:val="el-GR"/>
        </w:rPr>
      </w:pPr>
      <w:r w:rsidRPr="00AD130A">
        <w:rPr>
          <w:rFonts w:ascii="Ping LCG Regular" w:hAnsi="Ping LCG Regular"/>
          <w:b/>
          <w:sz w:val="20"/>
          <w:szCs w:val="20"/>
          <w:lang w:val="el-GR"/>
        </w:rPr>
        <w:t>Ενοποιημένη Κατάσταση Αποτελεσμάτων (Συνοπτική)</w:t>
      </w:r>
    </w:p>
    <w:p w14:paraId="5A5B1EB4" w14:textId="5893507D" w:rsidR="00F927AB" w:rsidRDefault="00F927AB">
      <w:pPr>
        <w:rPr>
          <w:rFonts w:ascii="Ping LCG Regular" w:hAnsi="Ping LCG Regular"/>
          <w:b/>
          <w:sz w:val="20"/>
          <w:szCs w:val="20"/>
          <w:lang w:val="el-GR"/>
        </w:rPr>
      </w:pPr>
    </w:p>
    <w:p w14:paraId="3D13AB11" w14:textId="3CFA06D5" w:rsidR="0099643C" w:rsidRDefault="00870717">
      <w:pPr>
        <w:rPr>
          <w:rFonts w:ascii="Ping LCG Regular" w:hAnsi="Ping LCG Regular"/>
          <w:b/>
          <w:sz w:val="20"/>
          <w:szCs w:val="20"/>
          <w:lang w:val="el-GR"/>
        </w:rPr>
      </w:pPr>
      <w:r w:rsidRPr="00735E93">
        <w:rPr>
          <w:lang w:val="el-GR"/>
        </w:rPr>
        <w:t xml:space="preserve"> </w:t>
      </w:r>
    </w:p>
    <w:p w14:paraId="558D9F41" w14:textId="0A0F798B" w:rsidR="001B497A" w:rsidRDefault="004848B7">
      <w:pPr>
        <w:rPr>
          <w:rFonts w:ascii="Ping LCG Regular" w:hAnsi="Ping LCG Regular"/>
          <w:b/>
          <w:sz w:val="20"/>
          <w:szCs w:val="20"/>
          <w:lang w:val="el-GR"/>
        </w:rPr>
      </w:pPr>
      <w:r w:rsidRPr="004848B7">
        <w:rPr>
          <w:noProof/>
        </w:rPr>
        <w:drawing>
          <wp:inline distT="0" distB="0" distL="0" distR="0" wp14:anchorId="54411036" wp14:editId="18FE91B8">
            <wp:extent cx="5490210" cy="402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0210" cy="4025900"/>
                    </a:xfrm>
                    <a:prstGeom prst="rect">
                      <a:avLst/>
                    </a:prstGeom>
                    <a:noFill/>
                    <a:ln>
                      <a:noFill/>
                    </a:ln>
                  </pic:spPr>
                </pic:pic>
              </a:graphicData>
            </a:graphic>
          </wp:inline>
        </w:drawing>
      </w:r>
      <w:r w:rsidR="001B497A">
        <w:rPr>
          <w:rFonts w:ascii="Ping LCG Regular" w:hAnsi="Ping LCG Regular"/>
          <w:b/>
          <w:sz w:val="20"/>
          <w:szCs w:val="20"/>
          <w:lang w:val="el-GR"/>
        </w:rPr>
        <w:br w:type="page"/>
      </w:r>
    </w:p>
    <w:p w14:paraId="59BCA69B" w14:textId="77777777" w:rsidR="000A60A4" w:rsidRDefault="000A60A4" w:rsidP="00145FF1">
      <w:pPr>
        <w:jc w:val="both"/>
        <w:rPr>
          <w:rFonts w:ascii="Ping LCG Regular" w:hAnsi="Ping LCG Regular"/>
          <w:b/>
          <w:sz w:val="20"/>
          <w:szCs w:val="20"/>
          <w:lang w:val="el-GR"/>
        </w:rPr>
      </w:pPr>
    </w:p>
    <w:p w14:paraId="599307D3" w14:textId="15041C41" w:rsidR="00145FF1" w:rsidRPr="001B497A" w:rsidRDefault="00145FF1" w:rsidP="00145FF1">
      <w:pPr>
        <w:jc w:val="both"/>
        <w:rPr>
          <w:rFonts w:ascii="Ping LCG Regular" w:hAnsi="Ping LCG Regular"/>
          <w:b/>
          <w:sz w:val="20"/>
          <w:szCs w:val="20"/>
          <w:lang w:val="el-GR"/>
        </w:rPr>
      </w:pPr>
      <w:r w:rsidRPr="006B5DCA">
        <w:rPr>
          <w:rFonts w:ascii="Ping LCG Regular" w:hAnsi="Ping LCG Regular"/>
          <w:b/>
          <w:sz w:val="20"/>
          <w:szCs w:val="20"/>
          <w:lang w:val="el-GR"/>
        </w:rPr>
        <w:t>Ενοποιημένη κατάσταση ταμιακών ροών (Συνοπτική)</w:t>
      </w:r>
    </w:p>
    <w:p w14:paraId="11FA0142" w14:textId="3F4F7CFC" w:rsidR="000E7FCF" w:rsidRPr="00704014" w:rsidRDefault="000E7FCF">
      <w:pPr>
        <w:rPr>
          <w:rFonts w:ascii="Ping LCG Regular" w:eastAsia="Calibri" w:hAnsi="Ping LCG Regular" w:cs="Arial"/>
          <w:b/>
          <w:color w:val="000000"/>
          <w:sz w:val="20"/>
          <w:szCs w:val="20"/>
          <w:lang w:val="el-GR"/>
        </w:rPr>
      </w:pPr>
    </w:p>
    <w:p w14:paraId="73AC901E" w14:textId="0B4C8B54" w:rsidR="001B497A" w:rsidRPr="002B1E22" w:rsidRDefault="005D017A">
      <w:pPr>
        <w:rPr>
          <w:rFonts w:ascii="Ping LCG Regular" w:eastAsia="Calibri" w:hAnsi="Ping LCG Regular" w:cs="Arial"/>
          <w:b/>
          <w:color w:val="000000"/>
          <w:sz w:val="20"/>
          <w:szCs w:val="20"/>
          <w:lang w:val="el-GR"/>
        </w:rPr>
      </w:pPr>
      <w:r w:rsidRPr="005D017A">
        <w:rPr>
          <w:noProof/>
        </w:rPr>
        <w:drawing>
          <wp:inline distT="0" distB="0" distL="0" distR="0" wp14:anchorId="69DEA949" wp14:editId="1A2BAF7B">
            <wp:extent cx="5490210" cy="5902325"/>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0210" cy="5902325"/>
                    </a:xfrm>
                    <a:prstGeom prst="rect">
                      <a:avLst/>
                    </a:prstGeom>
                    <a:noFill/>
                    <a:ln>
                      <a:noFill/>
                    </a:ln>
                  </pic:spPr>
                </pic:pic>
              </a:graphicData>
            </a:graphic>
          </wp:inline>
        </w:drawing>
      </w:r>
      <w:r w:rsidR="006D5A33" w:rsidRPr="006D5A33">
        <w:rPr>
          <w:lang w:val="el-GR"/>
        </w:rPr>
        <w:t xml:space="preserve"> </w:t>
      </w:r>
      <w:r w:rsidR="00FF23DB" w:rsidRPr="00735E93">
        <w:rPr>
          <w:lang w:val="el-GR"/>
        </w:rPr>
        <w:t xml:space="preserve"> </w:t>
      </w:r>
      <w:r w:rsidR="001B497A" w:rsidRPr="002B1E22">
        <w:rPr>
          <w:rFonts w:ascii="Ping LCG Regular" w:eastAsia="Calibri" w:hAnsi="Ping LCG Regular" w:cs="Arial"/>
          <w:b/>
          <w:color w:val="000000"/>
          <w:sz w:val="20"/>
          <w:szCs w:val="20"/>
          <w:lang w:val="el-GR"/>
        </w:rPr>
        <w:br w:type="page"/>
      </w:r>
    </w:p>
    <w:p w14:paraId="0B331C6C" w14:textId="03632DC7" w:rsidR="00610A5A" w:rsidRPr="00B50C9B" w:rsidRDefault="00610A5A" w:rsidP="00610A5A">
      <w:pPr>
        <w:autoSpaceDE w:val="0"/>
        <w:autoSpaceDN w:val="0"/>
        <w:adjustRightInd w:val="0"/>
        <w:rPr>
          <w:rFonts w:ascii="Ping LCG Regular" w:hAnsi="Ping LCG Regular" w:cs="Calibri Light"/>
          <w:b/>
          <w:color w:val="000000"/>
          <w:sz w:val="20"/>
          <w:szCs w:val="20"/>
          <w:lang w:val="el-GR"/>
        </w:rPr>
      </w:pPr>
      <w:r w:rsidRPr="00B50C9B">
        <w:rPr>
          <w:rFonts w:ascii="Ping LCG Regular" w:hAnsi="Ping LCG Regular" w:cs="Calibri Light"/>
          <w:b/>
          <w:color w:val="000000"/>
          <w:sz w:val="20"/>
          <w:szCs w:val="20"/>
          <w:lang w:val="el-GR"/>
        </w:rPr>
        <w:lastRenderedPageBreak/>
        <w:t>ΠΑΡΑΡΤΗΜΑ</w:t>
      </w:r>
      <w:r w:rsidR="00EE236D" w:rsidRPr="00B50C9B">
        <w:rPr>
          <w:rFonts w:ascii="Ping LCG Regular" w:hAnsi="Ping LCG Regular" w:cs="Calibri Light"/>
          <w:b/>
          <w:color w:val="000000"/>
          <w:sz w:val="20"/>
          <w:szCs w:val="20"/>
          <w:lang w:val="el-GR"/>
        </w:rPr>
        <w:t xml:space="preserve"> </w:t>
      </w:r>
      <w:r w:rsidR="00EE236D" w:rsidRPr="00B50C9B">
        <w:rPr>
          <w:rFonts w:ascii="Ping LCG Regular" w:hAnsi="Ping LCG Regular" w:cs="Calibri Light"/>
          <w:b/>
          <w:color w:val="000000"/>
          <w:sz w:val="20"/>
          <w:szCs w:val="20"/>
        </w:rPr>
        <w:t>II</w:t>
      </w:r>
    </w:p>
    <w:p w14:paraId="42D6014C" w14:textId="77777777" w:rsidR="00610A5A" w:rsidRPr="00B50C9B" w:rsidRDefault="00610A5A" w:rsidP="00610A5A">
      <w:pPr>
        <w:autoSpaceDE w:val="0"/>
        <w:autoSpaceDN w:val="0"/>
        <w:adjustRightInd w:val="0"/>
        <w:rPr>
          <w:rFonts w:ascii="Ping LCG Regular" w:hAnsi="Ping LCG Regular" w:cs="Calibri Light"/>
          <w:b/>
          <w:color w:val="000000"/>
          <w:sz w:val="20"/>
          <w:szCs w:val="20"/>
          <w:lang w:val="el-GR"/>
        </w:rPr>
      </w:pPr>
    </w:p>
    <w:p w14:paraId="6BDB9625" w14:textId="77777777" w:rsidR="00A87A98" w:rsidRPr="0004155E" w:rsidRDefault="00A87A98" w:rsidP="00A87A98">
      <w:pPr>
        <w:autoSpaceDE w:val="0"/>
        <w:autoSpaceDN w:val="0"/>
        <w:adjustRightInd w:val="0"/>
        <w:rPr>
          <w:rFonts w:ascii="Ping LCG Regular" w:hAnsi="Ping LCG Regular" w:cs="Calibri Light"/>
          <w:b/>
          <w:color w:val="000000"/>
          <w:sz w:val="20"/>
          <w:szCs w:val="20"/>
          <w:lang w:val="el-GR"/>
        </w:rPr>
      </w:pPr>
      <w:r w:rsidRPr="0004155E">
        <w:rPr>
          <w:rFonts w:ascii="Ping LCG Regular" w:hAnsi="Ping LCG Regular" w:cs="Calibri Light"/>
          <w:b/>
          <w:color w:val="000000"/>
          <w:sz w:val="20"/>
          <w:szCs w:val="20"/>
          <w:lang w:val="el-GR"/>
        </w:rPr>
        <w:t>Ορισμοί και συμφωνία των Εναλλακτικών Δεικτών Μέτρησης Απόδοσης (“ΕΔΜΑ”)</w:t>
      </w:r>
    </w:p>
    <w:p w14:paraId="621BEB5F" w14:textId="77777777" w:rsidR="00A87A98" w:rsidRPr="0004155E" w:rsidRDefault="00A87A98" w:rsidP="00A87A98">
      <w:pPr>
        <w:autoSpaceDE w:val="0"/>
        <w:autoSpaceDN w:val="0"/>
        <w:adjustRightInd w:val="0"/>
        <w:rPr>
          <w:rFonts w:ascii="Ping LCG Regular" w:hAnsi="Ping LCG Regular" w:cs="Calibri Light"/>
          <w:b/>
          <w:color w:val="000000"/>
          <w:sz w:val="20"/>
          <w:szCs w:val="20"/>
          <w:lang w:val="el-GR"/>
        </w:rPr>
      </w:pPr>
    </w:p>
    <w:p w14:paraId="642184EF" w14:textId="77777777" w:rsidR="00A87A98" w:rsidRPr="0004155E" w:rsidRDefault="00A87A98" w:rsidP="00A87A98">
      <w:pPr>
        <w:autoSpaceDE w:val="0"/>
        <w:autoSpaceDN w:val="0"/>
        <w:adjustRightInd w:val="0"/>
        <w:rPr>
          <w:rFonts w:ascii="Ping LCG Regular" w:hAnsi="Ping LCG Regular" w:cs="Calibri Light"/>
          <w:b/>
          <w:color w:val="000000"/>
          <w:sz w:val="20"/>
          <w:szCs w:val="20"/>
          <w:lang w:val="el-GR"/>
        </w:rPr>
      </w:pPr>
      <w:r w:rsidRPr="0004155E">
        <w:rPr>
          <w:rFonts w:ascii="Ping LCG Regular" w:hAnsi="Ping LCG Regular" w:cs="Calibri Light"/>
          <w:b/>
          <w:color w:val="000000"/>
          <w:sz w:val="20"/>
          <w:szCs w:val="20"/>
          <w:lang w:val="el-GR"/>
        </w:rPr>
        <w:t xml:space="preserve">ΕΝΑΛΛΑΚΤΙΚΟΙ ΔΕΙΚΤΕΣ ΜΕΤΡΗΣΗΣ ΑΠΟΔΟΣΗΣ (“ΕΔΜΑ”) </w:t>
      </w:r>
    </w:p>
    <w:p w14:paraId="37BDCA94" w14:textId="77777777" w:rsidR="00A87A98" w:rsidRPr="0004155E" w:rsidRDefault="00A87A98" w:rsidP="00A87A98">
      <w:pPr>
        <w:autoSpaceDE w:val="0"/>
        <w:autoSpaceDN w:val="0"/>
        <w:adjustRightInd w:val="0"/>
        <w:jc w:val="both"/>
        <w:rPr>
          <w:rFonts w:ascii="Ping LCG Regular" w:hAnsi="Ping LCG Regular" w:cs="Calibri Light"/>
          <w:color w:val="000000"/>
          <w:sz w:val="20"/>
          <w:szCs w:val="20"/>
          <w:lang w:val="el-GR"/>
        </w:rPr>
      </w:pPr>
      <w:r w:rsidRPr="0004155E">
        <w:rPr>
          <w:rFonts w:ascii="Ping LCG Regular" w:hAnsi="Ping LCG Regular" w:cs="Calibri Light"/>
          <w:color w:val="000000"/>
          <w:sz w:val="20"/>
          <w:szCs w:val="20"/>
          <w:lang w:val="el-GR"/>
        </w:rPr>
        <w:t xml:space="preserve">Ο Όμιλος και η Μητρική Εταιρεία χρησιμοποιεί Εναλλακτικούς Δείκτες Μέτρησης Απόδοσης (“ΕΔΜΑ”) στα πλαίσια λήψης αποφάσεων σχετικά με τον χρηματοοικονομικό, λειτουργικό και στρατηγικό σχεδιασμό του καθώς και για την αξιολόγηση και την δημοσίευση των επιδόσεών του. Αυτοί οι ΕΔΜΑ εξυπηρετούν στην καλύτερη κατανόηση των χρηματοοικονομικών και λειτουργικών αποτελεσμάτων του Ομίλου και της Μητρικής Εταιρείας, της χρηματοοικονομικής του θέσης καθώς και της κατάστασης ταμειακών ροών. Οι εναλλακτικοί δείκτες (ΕΔΜΑ) θα πρέπει να λαμβάνονται υπόψη πάντα σε συνδυασμό με τα οικονομικά αποτελέσματα που έχουν συνταχθεί σύμφωνα με τα ΔΠΧΑ και σε καμία περίπτωση δεν αντικαθιστούν αυτά. </w:t>
      </w:r>
    </w:p>
    <w:p w14:paraId="11192BCD" w14:textId="77777777" w:rsidR="00A87A98" w:rsidRPr="0004155E" w:rsidRDefault="00A87A98" w:rsidP="00A87A98">
      <w:pPr>
        <w:autoSpaceDE w:val="0"/>
        <w:autoSpaceDN w:val="0"/>
        <w:adjustRightInd w:val="0"/>
        <w:jc w:val="both"/>
        <w:rPr>
          <w:rFonts w:ascii="Ping LCG Regular" w:hAnsi="Ping LCG Regular" w:cs="Calibri Light"/>
          <w:b/>
          <w:color w:val="000000"/>
          <w:sz w:val="20"/>
          <w:szCs w:val="20"/>
          <w:lang w:val="el-GR"/>
        </w:rPr>
      </w:pPr>
    </w:p>
    <w:p w14:paraId="0DB2009D" w14:textId="77777777" w:rsidR="00A87A98" w:rsidRPr="0004155E" w:rsidRDefault="00A87A98" w:rsidP="00A87A98">
      <w:pPr>
        <w:autoSpaceDE w:val="0"/>
        <w:autoSpaceDN w:val="0"/>
        <w:adjustRightInd w:val="0"/>
        <w:jc w:val="both"/>
        <w:rPr>
          <w:rFonts w:ascii="Ping LCG Regular" w:hAnsi="Ping LCG Regular" w:cs="Calibri Light"/>
          <w:b/>
          <w:color w:val="000000"/>
          <w:sz w:val="20"/>
          <w:szCs w:val="20"/>
          <w:lang w:val="el-GR"/>
        </w:rPr>
      </w:pPr>
      <w:r w:rsidRPr="0004155E">
        <w:rPr>
          <w:rFonts w:ascii="Ping LCG Regular" w:hAnsi="Ping LCG Regular" w:cs="Calibri Light"/>
          <w:b/>
          <w:color w:val="000000"/>
          <w:sz w:val="20"/>
          <w:szCs w:val="20"/>
          <w:lang w:val="el-GR"/>
        </w:rPr>
        <w:t xml:space="preserve">Εναλλακτικοί Δείκτες Μέτρησης Απόδοσης (“ΕΔΜΑ”) </w:t>
      </w:r>
    </w:p>
    <w:p w14:paraId="00CE2FCD" w14:textId="77777777" w:rsidR="00A87A98" w:rsidRPr="0004155E" w:rsidRDefault="00A87A98" w:rsidP="00A87A98">
      <w:pPr>
        <w:autoSpaceDE w:val="0"/>
        <w:autoSpaceDN w:val="0"/>
        <w:adjustRightInd w:val="0"/>
        <w:jc w:val="both"/>
        <w:rPr>
          <w:rFonts w:ascii="Ping LCG Regular" w:hAnsi="Ping LCG Regular" w:cs="Calibri Light"/>
          <w:color w:val="000000"/>
          <w:sz w:val="20"/>
          <w:szCs w:val="20"/>
          <w:lang w:val="el-GR"/>
        </w:rPr>
      </w:pPr>
      <w:r w:rsidRPr="0004155E">
        <w:rPr>
          <w:rFonts w:ascii="Ping LCG Regular" w:hAnsi="Ping LCG Regular" w:cs="Calibri Light"/>
          <w:color w:val="000000"/>
          <w:sz w:val="20"/>
          <w:szCs w:val="20"/>
          <w:lang w:val="el-GR"/>
        </w:rPr>
        <w:t xml:space="preserve">Κατά την περιγραφή των επιδόσεων του Ομίλου και της Μητρικής Εταιρείας χρησιμοποιούνται “Προσαρμοσμένοι” δείκτες όπως: </w:t>
      </w:r>
      <w:r w:rsidRPr="00E75E53">
        <w:rPr>
          <w:rFonts w:ascii="Ping LCG Regular" w:hAnsi="Ping LCG Regular" w:cs="Calibri Light"/>
          <w:color w:val="000000"/>
          <w:sz w:val="20"/>
          <w:szCs w:val="20"/>
        </w:rPr>
        <w:t>EBITDA</w:t>
      </w:r>
      <w:r w:rsidRPr="0004155E">
        <w:rPr>
          <w:rFonts w:ascii="Ping LCG Regular" w:hAnsi="Ping LCG Regular" w:cs="Calibri Light"/>
          <w:color w:val="000000"/>
          <w:sz w:val="20"/>
          <w:szCs w:val="20"/>
          <w:lang w:val="el-GR"/>
        </w:rPr>
        <w:t xml:space="preserve"> Προσαρμοσμένο χωρίς Ειδικές προσαρμογές, περιθώριο </w:t>
      </w:r>
      <w:r w:rsidRPr="00E75E53">
        <w:rPr>
          <w:rFonts w:ascii="Ping LCG Regular" w:hAnsi="Ping LCG Regular" w:cs="Calibri Light"/>
          <w:color w:val="000000"/>
          <w:sz w:val="20"/>
          <w:szCs w:val="20"/>
        </w:rPr>
        <w:t>EBITDA</w:t>
      </w:r>
      <w:r w:rsidRPr="0004155E">
        <w:rPr>
          <w:rFonts w:ascii="Ping LCG Regular" w:hAnsi="Ping LCG Regular" w:cs="Calibri Light"/>
          <w:color w:val="000000"/>
          <w:sz w:val="20"/>
          <w:szCs w:val="20"/>
          <w:lang w:val="el-GR"/>
        </w:rPr>
        <w:t xml:space="preserve"> Προσαρμοσμένο % χωρίς Ειδικές προσαρμογές και Κέρδη / (Ζημίες) χωρίς Ειδικές προσαρμογές. Οι δείκτες αυτοί υπολογίζονται αφαιρώντας από τους οικονομικούς δείκτες, οι οποίοι έχουν υπολογιστεί από κονδύλια των ετήσιων ή ενδιάμεσων οικονομικών καταστάσεων, την επίδραση και τα κόστη που προκύπτουν από γεγονότα τα οποία συνέβησαν κατά την εκάστοτε  περίοδο αναφοράς και τα οποία δεν έχουν επηρεάσει τα ποσά των προηγούμενων περιόδων.</w:t>
      </w:r>
    </w:p>
    <w:p w14:paraId="010C77C2" w14:textId="77777777" w:rsidR="00A87A98" w:rsidRPr="0004155E" w:rsidRDefault="00A87A98" w:rsidP="00A87A98">
      <w:pPr>
        <w:autoSpaceDE w:val="0"/>
        <w:autoSpaceDN w:val="0"/>
        <w:adjustRightInd w:val="0"/>
        <w:jc w:val="both"/>
        <w:rPr>
          <w:rFonts w:ascii="Ping LCG Regular" w:hAnsi="Ping LCG Regular" w:cs="Calibri Light"/>
          <w:b/>
          <w:color w:val="000000"/>
          <w:sz w:val="20"/>
          <w:szCs w:val="20"/>
          <w:lang w:val="el-GR"/>
        </w:rPr>
      </w:pPr>
    </w:p>
    <w:p w14:paraId="565B0E5D" w14:textId="77777777" w:rsidR="00A87A98" w:rsidRPr="0004155E" w:rsidRDefault="00A87A98" w:rsidP="00A87A98">
      <w:pPr>
        <w:autoSpaceDE w:val="0"/>
        <w:autoSpaceDN w:val="0"/>
        <w:adjustRightInd w:val="0"/>
        <w:jc w:val="both"/>
        <w:rPr>
          <w:rFonts w:ascii="Ping LCG Regular" w:hAnsi="Ping LCG Regular" w:cs="Calibri Light"/>
          <w:b/>
          <w:color w:val="000000"/>
          <w:sz w:val="20"/>
          <w:szCs w:val="20"/>
          <w:lang w:val="el-GR"/>
        </w:rPr>
      </w:pPr>
      <w:r w:rsidRPr="00E75E53">
        <w:rPr>
          <w:rFonts w:ascii="Ping LCG Regular" w:hAnsi="Ping LCG Regular" w:cs="Calibri Light"/>
          <w:b/>
          <w:color w:val="000000"/>
          <w:sz w:val="20"/>
          <w:szCs w:val="20"/>
        </w:rPr>
        <w:t>EBITDA</w:t>
      </w:r>
      <w:r w:rsidRPr="0004155E">
        <w:rPr>
          <w:rFonts w:ascii="Ping LCG Regular" w:hAnsi="Ping LCG Regular" w:cs="Calibri Light"/>
          <w:b/>
          <w:color w:val="000000"/>
          <w:sz w:val="20"/>
          <w:szCs w:val="20"/>
          <w:lang w:val="el-GR"/>
        </w:rPr>
        <w:t xml:space="preserve"> (Δείκτης λειτουργικών κερδών πριν από αποσβέσεις και απομειώσεις, καθαρές χρηματοοικονομικές δαπάνες και  φόρους) </w:t>
      </w:r>
    </w:p>
    <w:p w14:paraId="7E42F6A9" w14:textId="77777777" w:rsidR="00A87A98" w:rsidRPr="0004155E" w:rsidRDefault="00A87A98" w:rsidP="00A87A98">
      <w:pPr>
        <w:autoSpaceDE w:val="0"/>
        <w:autoSpaceDN w:val="0"/>
        <w:adjustRightInd w:val="0"/>
        <w:jc w:val="both"/>
        <w:rPr>
          <w:rFonts w:ascii="Ping LCG Regular" w:hAnsi="Ping LCG Regular" w:cs="Calibri Light"/>
          <w:color w:val="000000"/>
          <w:sz w:val="20"/>
          <w:szCs w:val="20"/>
          <w:lang w:val="el-GR"/>
        </w:rPr>
      </w:pPr>
      <w:r w:rsidRPr="0004155E">
        <w:rPr>
          <w:rFonts w:ascii="Ping LCG Regular" w:hAnsi="Ping LCG Regular" w:cs="Calibri Light"/>
          <w:color w:val="000000"/>
          <w:sz w:val="20"/>
          <w:szCs w:val="20"/>
          <w:lang w:val="el-GR"/>
        </w:rPr>
        <w:t xml:space="preserve">Ο δείκτης </w:t>
      </w:r>
      <w:r w:rsidRPr="00E75E53">
        <w:rPr>
          <w:rFonts w:ascii="Ping LCG Regular" w:hAnsi="Ping LCG Regular" w:cs="Calibri Light"/>
          <w:color w:val="000000"/>
          <w:sz w:val="20"/>
          <w:szCs w:val="20"/>
        </w:rPr>
        <w:t>EBITDA</w:t>
      </w:r>
      <w:r w:rsidRPr="0004155E">
        <w:rPr>
          <w:rFonts w:ascii="Ping LCG Regular" w:hAnsi="Ping LCG Regular" w:cs="Calibri Light"/>
          <w:color w:val="000000"/>
          <w:sz w:val="20"/>
          <w:szCs w:val="20"/>
          <w:lang w:val="el-GR"/>
        </w:rPr>
        <w:t xml:space="preserve"> εξυπηρετεί στην καλύτερη ανάλυση των λειτουργικών αποτελεσμάτων του Ομίλου και της Μητρικής Εταιρείας και υπολογίζεται ως εξής: Σύνολο κύκλου εργασιών μείον το σύνολο των λειτουργικών εξόδων πριν από αποσβέσεις και απομειώσεις. Το περιθώριο </w:t>
      </w:r>
      <w:r w:rsidRPr="00E75E53">
        <w:rPr>
          <w:rFonts w:ascii="Ping LCG Regular" w:hAnsi="Ping LCG Regular" w:cs="Calibri Light"/>
          <w:color w:val="000000"/>
          <w:sz w:val="20"/>
          <w:szCs w:val="20"/>
        </w:rPr>
        <w:t>EBITDA</w:t>
      </w:r>
      <w:r w:rsidRPr="0004155E">
        <w:rPr>
          <w:rFonts w:ascii="Ping LCG Regular" w:hAnsi="Ping LCG Regular" w:cs="Calibri Light"/>
          <w:color w:val="000000"/>
          <w:sz w:val="20"/>
          <w:szCs w:val="20"/>
          <w:lang w:val="el-GR"/>
        </w:rPr>
        <w:t xml:space="preserve"> (%) υπολογίζεται διαιρώντας το </w:t>
      </w:r>
      <w:r w:rsidRPr="00E75E53">
        <w:rPr>
          <w:rFonts w:ascii="Ping LCG Regular" w:hAnsi="Ping LCG Regular" w:cs="Calibri Light"/>
          <w:color w:val="000000"/>
          <w:sz w:val="20"/>
          <w:szCs w:val="20"/>
        </w:rPr>
        <w:t>EBITDA</w:t>
      </w:r>
      <w:r w:rsidRPr="0004155E">
        <w:rPr>
          <w:rFonts w:ascii="Ping LCG Regular" w:hAnsi="Ping LCG Regular" w:cs="Calibri Light"/>
          <w:color w:val="000000"/>
          <w:sz w:val="20"/>
          <w:szCs w:val="20"/>
          <w:lang w:val="el-GR"/>
        </w:rPr>
        <w:t xml:space="preserve"> με το σύνολο του κύκλου εργασιών. Οι υπολογισμοί παρουσιάζονται στον Πίνακα Α.</w:t>
      </w:r>
    </w:p>
    <w:p w14:paraId="69FDA010" w14:textId="77777777" w:rsidR="00A87A98" w:rsidRPr="0004155E" w:rsidRDefault="00A87A98" w:rsidP="00A87A98">
      <w:pPr>
        <w:autoSpaceDE w:val="0"/>
        <w:autoSpaceDN w:val="0"/>
        <w:adjustRightInd w:val="0"/>
        <w:jc w:val="both"/>
        <w:rPr>
          <w:rFonts w:ascii="Ping LCG Regular" w:hAnsi="Ping LCG Regular" w:cs="Calibri Light"/>
          <w:b/>
          <w:color w:val="000000"/>
          <w:sz w:val="20"/>
          <w:szCs w:val="20"/>
          <w:lang w:val="el-GR"/>
        </w:rPr>
      </w:pPr>
    </w:p>
    <w:p w14:paraId="41F26A97" w14:textId="77777777" w:rsidR="00A87A98" w:rsidRPr="0004155E" w:rsidRDefault="00A87A98" w:rsidP="00A87A98">
      <w:pPr>
        <w:autoSpaceDE w:val="0"/>
        <w:autoSpaceDN w:val="0"/>
        <w:adjustRightInd w:val="0"/>
        <w:jc w:val="both"/>
        <w:rPr>
          <w:rFonts w:ascii="Ping LCG Regular" w:hAnsi="Ping LCG Regular" w:cs="Calibri Light"/>
          <w:b/>
          <w:color w:val="000000"/>
          <w:sz w:val="20"/>
          <w:szCs w:val="20"/>
          <w:lang w:val="el-GR"/>
        </w:rPr>
      </w:pPr>
      <w:r w:rsidRPr="0004155E">
        <w:rPr>
          <w:rFonts w:ascii="Ping LCG Regular" w:hAnsi="Ping LCG Regular" w:cs="Calibri Light"/>
          <w:b/>
          <w:color w:val="000000"/>
          <w:sz w:val="20"/>
          <w:szCs w:val="20"/>
          <w:lang w:val="el-GR"/>
        </w:rPr>
        <w:t>Λειτουργικές Δαπάνες προ αποσβέσεων και απομειώσεων, συνολικών καθαρών χρηματοοικονομικών δαπανών και κερδών/(ζημιών) από συγγενείς εταιρείες  χωρίς Ειδικές προσαρμογές</w:t>
      </w:r>
    </w:p>
    <w:p w14:paraId="0BF00876" w14:textId="77777777" w:rsidR="00A87A98" w:rsidRPr="0004155E" w:rsidRDefault="00A87A98" w:rsidP="00A87A98">
      <w:pPr>
        <w:autoSpaceDE w:val="0"/>
        <w:autoSpaceDN w:val="0"/>
        <w:adjustRightInd w:val="0"/>
        <w:jc w:val="both"/>
        <w:rPr>
          <w:rFonts w:ascii="Ping LCG Regular" w:hAnsi="Ping LCG Regular" w:cs="Calibri Light"/>
          <w:color w:val="000000"/>
          <w:sz w:val="20"/>
          <w:szCs w:val="20"/>
          <w:lang w:val="el-GR"/>
        </w:rPr>
      </w:pPr>
      <w:r w:rsidRPr="0004155E">
        <w:rPr>
          <w:rFonts w:ascii="Ping LCG Regular" w:hAnsi="Ping LCG Regular" w:cs="Calibri Light"/>
          <w:color w:val="000000"/>
          <w:sz w:val="20"/>
          <w:szCs w:val="20"/>
          <w:lang w:val="el-GR"/>
        </w:rPr>
        <w:t xml:space="preserve">Ο δείκτης αυτός προκύπτει αν από τη γραμμή «Λειτουργικές Δαπάνες προ Αποσβέσεων και Απομειώσεων» του πίνακα του </w:t>
      </w:r>
      <w:r w:rsidRPr="00E75E53">
        <w:rPr>
          <w:rFonts w:ascii="Ping LCG Regular" w:hAnsi="Ping LCG Regular" w:cs="Calibri Light"/>
          <w:color w:val="000000"/>
          <w:sz w:val="20"/>
          <w:szCs w:val="20"/>
        </w:rPr>
        <w:t>EBITDA</w:t>
      </w:r>
      <w:r w:rsidRPr="0004155E">
        <w:rPr>
          <w:rFonts w:ascii="Ping LCG Regular" w:hAnsi="Ping LCG Regular" w:cs="Calibri Light"/>
          <w:color w:val="000000"/>
          <w:sz w:val="20"/>
          <w:szCs w:val="20"/>
          <w:lang w:val="el-GR"/>
        </w:rPr>
        <w:t xml:space="preserve"> όπως παρουσιάζεται ανωτέρω, αφαιρεθούν οι Ειδικές προσαρμογές που αναφέρονται στη σημείωση του </w:t>
      </w:r>
      <w:r w:rsidRPr="00E75E53">
        <w:rPr>
          <w:rFonts w:ascii="Ping LCG Regular" w:hAnsi="Ping LCG Regular" w:cs="Calibri Light"/>
          <w:color w:val="000000"/>
          <w:sz w:val="20"/>
          <w:szCs w:val="20"/>
        </w:rPr>
        <w:t>EBITDA</w:t>
      </w:r>
      <w:r w:rsidRPr="0004155E">
        <w:rPr>
          <w:rFonts w:ascii="Ping LCG Regular" w:hAnsi="Ping LCG Regular" w:cs="Calibri Light"/>
          <w:color w:val="000000"/>
          <w:sz w:val="20"/>
          <w:szCs w:val="20"/>
          <w:lang w:val="el-GR"/>
        </w:rPr>
        <w:t xml:space="preserve"> Προσαρμοσμένου κατωτέρω. Ο δείκτης παρουσιάζεται στον Πίνακα Β.</w:t>
      </w:r>
    </w:p>
    <w:p w14:paraId="12815609" w14:textId="77777777" w:rsidR="00A87A98" w:rsidRPr="0004155E" w:rsidRDefault="00A87A98" w:rsidP="00A87A98">
      <w:pPr>
        <w:autoSpaceDE w:val="0"/>
        <w:autoSpaceDN w:val="0"/>
        <w:adjustRightInd w:val="0"/>
        <w:jc w:val="both"/>
        <w:rPr>
          <w:rFonts w:ascii="Ping LCG Regular" w:hAnsi="Ping LCG Regular" w:cs="Calibri Light"/>
          <w:b/>
          <w:color w:val="000000"/>
          <w:sz w:val="20"/>
          <w:szCs w:val="20"/>
          <w:lang w:val="el-GR"/>
        </w:rPr>
      </w:pPr>
    </w:p>
    <w:p w14:paraId="06CE4F78" w14:textId="77777777" w:rsidR="00A87A98" w:rsidRPr="0004155E" w:rsidRDefault="00A87A98" w:rsidP="00A87A98">
      <w:pPr>
        <w:autoSpaceDE w:val="0"/>
        <w:autoSpaceDN w:val="0"/>
        <w:adjustRightInd w:val="0"/>
        <w:jc w:val="both"/>
        <w:rPr>
          <w:rFonts w:ascii="Ping LCG Regular" w:hAnsi="Ping LCG Regular" w:cs="Calibri Light"/>
          <w:b/>
          <w:color w:val="000000"/>
          <w:sz w:val="20"/>
          <w:szCs w:val="20"/>
          <w:lang w:val="el-GR"/>
        </w:rPr>
      </w:pPr>
      <w:r w:rsidRPr="00E75E53">
        <w:rPr>
          <w:rFonts w:ascii="Ping LCG Regular" w:hAnsi="Ping LCG Regular" w:cs="Calibri Light"/>
          <w:b/>
          <w:color w:val="000000"/>
          <w:sz w:val="20"/>
          <w:szCs w:val="20"/>
        </w:rPr>
        <w:t>EBITDA</w:t>
      </w:r>
      <w:r w:rsidRPr="0004155E">
        <w:rPr>
          <w:rFonts w:ascii="Ping LCG Regular" w:hAnsi="Ping LCG Regular" w:cs="Calibri Light"/>
          <w:b/>
          <w:color w:val="000000"/>
          <w:sz w:val="20"/>
          <w:szCs w:val="20"/>
          <w:lang w:val="el-GR"/>
        </w:rPr>
        <w:t xml:space="preserve"> Προσαρμοσμένο (Δείκτης λειτουργικών κερδών πριν από αποσβέσεις και απομειώσεις, καθαρές χρηματοοικονομικές δαπάνες και  φόρους) </w:t>
      </w:r>
    </w:p>
    <w:p w14:paraId="33CB6AE9" w14:textId="1613CF42" w:rsidR="00A87A98" w:rsidRPr="0004155E" w:rsidRDefault="00A87A98" w:rsidP="00A87A98">
      <w:pPr>
        <w:autoSpaceDE w:val="0"/>
        <w:autoSpaceDN w:val="0"/>
        <w:adjustRightInd w:val="0"/>
        <w:jc w:val="both"/>
        <w:rPr>
          <w:rFonts w:ascii="Ping LCG Regular" w:hAnsi="Ping LCG Regular" w:cs="Calibri Light"/>
          <w:color w:val="000000"/>
          <w:sz w:val="20"/>
          <w:szCs w:val="20"/>
          <w:lang w:val="el-GR"/>
        </w:rPr>
      </w:pPr>
      <w:r w:rsidRPr="0004155E">
        <w:rPr>
          <w:rFonts w:ascii="Ping LCG Regular" w:hAnsi="Ping LCG Regular" w:cs="Calibri Light"/>
          <w:color w:val="000000"/>
          <w:sz w:val="20"/>
          <w:szCs w:val="20"/>
          <w:lang w:val="el-GR"/>
        </w:rPr>
        <w:t xml:space="preserve">Το </w:t>
      </w:r>
      <w:r w:rsidRPr="00E75E53">
        <w:rPr>
          <w:rFonts w:ascii="Ping LCG Regular" w:hAnsi="Ping LCG Regular" w:cs="Calibri Light"/>
          <w:color w:val="000000"/>
          <w:sz w:val="20"/>
          <w:szCs w:val="20"/>
        </w:rPr>
        <w:t>EBITD</w:t>
      </w:r>
      <w:r w:rsidRPr="0004155E">
        <w:rPr>
          <w:rFonts w:ascii="Ping LCG Regular" w:hAnsi="Ping LCG Regular" w:cs="Calibri Light"/>
          <w:color w:val="000000"/>
          <w:sz w:val="20"/>
          <w:szCs w:val="20"/>
          <w:lang w:val="el-GR"/>
        </w:rPr>
        <w:t xml:space="preserve">Α Προσαρμοσμένο εξυπηρετεί στην καλύτερη ανάλυση των λειτουργικών αποτελεσμάτων του Ομίλου και της Μητρικής Εταιρείας, εξαιρουμένης της επίδρασης των Ειδικών προσαρμογών. Για την εξάμηνη περίοδο που έληξε την 30η Ιουνίου 2023 η Ειδική προσαρμογή που επηρέασε το </w:t>
      </w:r>
      <w:r w:rsidRPr="00E75E53">
        <w:rPr>
          <w:rFonts w:ascii="Ping LCG Regular" w:hAnsi="Ping LCG Regular" w:cs="Calibri Light"/>
          <w:color w:val="000000"/>
          <w:sz w:val="20"/>
          <w:szCs w:val="20"/>
        </w:rPr>
        <w:t>EBITDA</w:t>
      </w:r>
      <w:r w:rsidRPr="0004155E">
        <w:rPr>
          <w:rFonts w:ascii="Ping LCG Regular" w:hAnsi="Ping LCG Regular" w:cs="Calibri Light"/>
          <w:color w:val="000000"/>
          <w:sz w:val="20"/>
          <w:szCs w:val="20"/>
          <w:lang w:val="el-GR"/>
        </w:rPr>
        <w:t xml:space="preserve"> Προσαρμοσμένο είναι η πρόβλεψη αποζημιώσεων προσωπικού ύψους € 11</w:t>
      </w:r>
      <w:r>
        <w:rPr>
          <w:rFonts w:ascii="Ping LCG Regular" w:hAnsi="Ping LCG Regular" w:cs="Calibri Light"/>
          <w:color w:val="000000"/>
          <w:sz w:val="20"/>
          <w:szCs w:val="20"/>
          <w:lang w:val="el-GR"/>
        </w:rPr>
        <w:t>,</w:t>
      </w:r>
      <w:r w:rsidRPr="0004155E">
        <w:rPr>
          <w:rFonts w:ascii="Ping LCG Regular" w:hAnsi="Ping LCG Regular" w:cs="Calibri Light"/>
          <w:color w:val="000000"/>
          <w:sz w:val="20"/>
          <w:szCs w:val="20"/>
          <w:lang w:val="el-GR"/>
        </w:rPr>
        <w:t>4 εκατ. (αρνητική επίπτωση) για τον Όμιλο και € 2</w:t>
      </w:r>
      <w:r>
        <w:rPr>
          <w:rFonts w:ascii="Ping LCG Regular" w:hAnsi="Ping LCG Regular" w:cs="Calibri Light"/>
          <w:color w:val="000000"/>
          <w:sz w:val="20"/>
          <w:szCs w:val="20"/>
          <w:lang w:val="el-GR"/>
        </w:rPr>
        <w:t>,</w:t>
      </w:r>
      <w:r w:rsidRPr="0004155E">
        <w:rPr>
          <w:rFonts w:ascii="Ping LCG Regular" w:hAnsi="Ping LCG Regular" w:cs="Calibri Light"/>
          <w:color w:val="000000"/>
          <w:sz w:val="20"/>
          <w:szCs w:val="20"/>
          <w:lang w:val="el-GR"/>
        </w:rPr>
        <w:t>2 εκατ. (αρνητική επίπτωση) για την Μητρική Εταιρεία</w:t>
      </w:r>
      <w:r w:rsidRPr="0004155E">
        <w:rPr>
          <w:rFonts w:ascii="Ping LCG Regular" w:hAnsi="Ping LCG Regular" w:cs="Arial"/>
          <w:color w:val="000000"/>
          <w:sz w:val="18"/>
          <w:szCs w:val="18"/>
          <w:lang w:val="el-GR"/>
        </w:rPr>
        <w:t xml:space="preserve">. </w:t>
      </w:r>
      <w:r w:rsidRPr="0004155E">
        <w:rPr>
          <w:rFonts w:ascii="Ping LCG Regular" w:hAnsi="Ping LCG Regular" w:cs="Calibri Light"/>
          <w:color w:val="000000"/>
          <w:sz w:val="20"/>
          <w:szCs w:val="20"/>
          <w:lang w:val="el-GR"/>
        </w:rPr>
        <w:t>Για την εξάμηνη περίοδο που έληξε την 30</w:t>
      </w:r>
      <w:r w:rsidRPr="0004155E">
        <w:rPr>
          <w:rFonts w:ascii="Ping LCG Regular" w:hAnsi="Ping LCG Regular" w:cs="Calibri Light"/>
          <w:color w:val="000000"/>
          <w:sz w:val="20"/>
          <w:szCs w:val="20"/>
          <w:vertAlign w:val="superscript"/>
          <w:lang w:val="el-GR"/>
        </w:rPr>
        <w:t>η</w:t>
      </w:r>
      <w:r w:rsidRPr="0004155E">
        <w:rPr>
          <w:rFonts w:ascii="Ping LCG Regular" w:hAnsi="Ping LCG Regular" w:cs="Calibri Light"/>
          <w:color w:val="000000"/>
          <w:sz w:val="20"/>
          <w:szCs w:val="20"/>
          <w:lang w:val="el-GR"/>
        </w:rPr>
        <w:t xml:space="preserve"> Ιουνίου 2024 η Ειδική προσαρμογή που επηρέασε το </w:t>
      </w:r>
      <w:r w:rsidRPr="00E75E53">
        <w:rPr>
          <w:rFonts w:ascii="Ping LCG Regular" w:hAnsi="Ping LCG Regular" w:cs="Calibri Light"/>
          <w:color w:val="000000"/>
          <w:sz w:val="20"/>
          <w:szCs w:val="20"/>
        </w:rPr>
        <w:t>EBITDA</w:t>
      </w:r>
      <w:r w:rsidRPr="0004155E">
        <w:rPr>
          <w:rFonts w:ascii="Ping LCG Regular" w:hAnsi="Ping LCG Regular" w:cs="Calibri Light"/>
          <w:color w:val="000000"/>
          <w:sz w:val="20"/>
          <w:szCs w:val="20"/>
          <w:lang w:val="el-GR"/>
        </w:rPr>
        <w:t xml:space="preserve"> Προσαρμοσμένο είναι η αποτίμηση συμβάσεων αγοραπωλησίας ηλεκτρικής ενέργειας ποσού € 47</w:t>
      </w:r>
      <w:r>
        <w:rPr>
          <w:rFonts w:ascii="Ping LCG Regular" w:hAnsi="Ping LCG Regular" w:cs="Calibri Light"/>
          <w:color w:val="000000"/>
          <w:sz w:val="20"/>
          <w:szCs w:val="20"/>
          <w:lang w:val="el-GR"/>
        </w:rPr>
        <w:t>,</w:t>
      </w:r>
      <w:r w:rsidRPr="0004155E">
        <w:rPr>
          <w:rFonts w:ascii="Ping LCG Regular" w:hAnsi="Ping LCG Regular" w:cs="Calibri Light"/>
          <w:color w:val="000000"/>
          <w:sz w:val="20"/>
          <w:szCs w:val="20"/>
          <w:lang w:val="el-GR"/>
        </w:rPr>
        <w:t>9 εκατ. (αρνητική επίπτωση) για τον Όμιλο και € 187</w:t>
      </w:r>
      <w:r>
        <w:rPr>
          <w:rFonts w:ascii="Ping LCG Regular" w:hAnsi="Ping LCG Regular" w:cs="Calibri Light"/>
          <w:color w:val="000000"/>
          <w:sz w:val="20"/>
          <w:szCs w:val="20"/>
          <w:lang w:val="el-GR"/>
        </w:rPr>
        <w:t>,</w:t>
      </w:r>
      <w:r w:rsidRPr="0004155E">
        <w:rPr>
          <w:rFonts w:ascii="Ping LCG Regular" w:hAnsi="Ping LCG Regular" w:cs="Calibri Light"/>
          <w:color w:val="000000"/>
          <w:sz w:val="20"/>
          <w:szCs w:val="20"/>
          <w:lang w:val="el-GR"/>
        </w:rPr>
        <w:t xml:space="preserve">2 εκατ. (αρνητική επίπτωση) για τη Μητρική Εταιρεία. Το περιθώριο </w:t>
      </w:r>
      <w:r w:rsidRPr="00E75E53">
        <w:rPr>
          <w:rFonts w:ascii="Ping LCG Regular" w:hAnsi="Ping LCG Regular" w:cs="Calibri Light"/>
          <w:color w:val="000000"/>
          <w:sz w:val="20"/>
          <w:szCs w:val="20"/>
        </w:rPr>
        <w:t>EBITDA</w:t>
      </w:r>
      <w:r w:rsidRPr="0004155E">
        <w:rPr>
          <w:rFonts w:ascii="Ping LCG Regular" w:hAnsi="Ping LCG Regular" w:cs="Calibri Light"/>
          <w:color w:val="000000"/>
          <w:sz w:val="20"/>
          <w:szCs w:val="20"/>
          <w:lang w:val="el-GR"/>
        </w:rPr>
        <w:t xml:space="preserve"> Προσαρμοσμένο (%) υπολογίζεται διαιρώντας το </w:t>
      </w:r>
      <w:r w:rsidRPr="00E75E53">
        <w:rPr>
          <w:rFonts w:ascii="Ping LCG Regular" w:hAnsi="Ping LCG Regular" w:cs="Calibri Light"/>
          <w:color w:val="000000"/>
          <w:sz w:val="20"/>
          <w:szCs w:val="20"/>
        </w:rPr>
        <w:t>EBITDA</w:t>
      </w:r>
      <w:r w:rsidRPr="0004155E">
        <w:rPr>
          <w:rFonts w:ascii="Ping LCG Regular" w:hAnsi="Ping LCG Regular" w:cs="Calibri Light"/>
          <w:color w:val="000000"/>
          <w:sz w:val="20"/>
          <w:szCs w:val="20"/>
          <w:lang w:val="el-GR"/>
        </w:rPr>
        <w:t xml:space="preserve">  Προσαρμοσμένο με το σύνολο του κύκλου εργασιών Προσαρμοσμένου. Ο υπολογισμός του </w:t>
      </w:r>
      <w:r w:rsidRPr="00E75E53">
        <w:rPr>
          <w:rFonts w:ascii="Ping LCG Regular" w:hAnsi="Ping LCG Regular" w:cs="Calibri Light"/>
          <w:color w:val="000000"/>
          <w:sz w:val="20"/>
          <w:szCs w:val="20"/>
        </w:rPr>
        <w:t>EBITDA</w:t>
      </w:r>
      <w:r w:rsidRPr="0004155E">
        <w:rPr>
          <w:rFonts w:ascii="Ping LCG Regular" w:hAnsi="Ping LCG Regular" w:cs="Calibri Light"/>
          <w:color w:val="000000"/>
          <w:sz w:val="20"/>
          <w:szCs w:val="20"/>
          <w:lang w:val="el-GR"/>
        </w:rPr>
        <w:t xml:space="preserve"> Προσαρμοσμένου και του  περιθωρίου </w:t>
      </w:r>
      <w:r w:rsidRPr="00E75E53">
        <w:rPr>
          <w:rFonts w:ascii="Ping LCG Regular" w:hAnsi="Ping LCG Regular" w:cs="Calibri Light"/>
          <w:color w:val="000000"/>
          <w:sz w:val="20"/>
          <w:szCs w:val="20"/>
        </w:rPr>
        <w:t>EBITDA</w:t>
      </w:r>
      <w:r w:rsidRPr="0004155E">
        <w:rPr>
          <w:rFonts w:ascii="Ping LCG Regular" w:hAnsi="Ping LCG Regular" w:cs="Calibri Light"/>
          <w:color w:val="000000"/>
          <w:sz w:val="20"/>
          <w:szCs w:val="20"/>
          <w:lang w:val="el-GR"/>
        </w:rPr>
        <w:t xml:space="preserve"> Προσαρμοσμένο παρουσιάζεται στον Πίνακα Γ.</w:t>
      </w:r>
    </w:p>
    <w:p w14:paraId="1DD14EF4" w14:textId="77777777" w:rsidR="00A87A98" w:rsidRPr="0004155E" w:rsidRDefault="00A87A98" w:rsidP="00A87A98">
      <w:pPr>
        <w:autoSpaceDE w:val="0"/>
        <w:autoSpaceDN w:val="0"/>
        <w:adjustRightInd w:val="0"/>
        <w:jc w:val="both"/>
        <w:rPr>
          <w:rFonts w:ascii="Ping LCG Regular" w:hAnsi="Ping LCG Regular" w:cs="Calibri Light"/>
          <w:b/>
          <w:color w:val="000000"/>
          <w:sz w:val="20"/>
          <w:szCs w:val="20"/>
          <w:lang w:val="el-GR"/>
        </w:rPr>
      </w:pPr>
    </w:p>
    <w:p w14:paraId="01CEA61C" w14:textId="77777777" w:rsidR="00A87A98" w:rsidRPr="0004155E" w:rsidRDefault="00A87A98" w:rsidP="00A87A98">
      <w:pPr>
        <w:autoSpaceDE w:val="0"/>
        <w:autoSpaceDN w:val="0"/>
        <w:adjustRightInd w:val="0"/>
        <w:jc w:val="both"/>
        <w:rPr>
          <w:rFonts w:ascii="Ping LCG Regular" w:hAnsi="Ping LCG Regular" w:cs="Calibri Light"/>
          <w:b/>
          <w:color w:val="000000"/>
          <w:sz w:val="20"/>
          <w:szCs w:val="20"/>
          <w:lang w:val="el-GR"/>
        </w:rPr>
      </w:pPr>
      <w:r w:rsidRPr="00E75E53">
        <w:rPr>
          <w:rFonts w:ascii="Ping LCG Regular" w:hAnsi="Ping LCG Regular" w:cs="Calibri Light"/>
          <w:b/>
          <w:color w:val="000000"/>
          <w:sz w:val="20"/>
          <w:szCs w:val="20"/>
        </w:rPr>
        <w:t>EBIT</w:t>
      </w:r>
      <w:r w:rsidRPr="0004155E">
        <w:rPr>
          <w:rFonts w:ascii="Ping LCG Regular" w:hAnsi="Ping LCG Regular" w:cs="Calibri Light"/>
          <w:b/>
          <w:color w:val="000000"/>
          <w:sz w:val="20"/>
          <w:szCs w:val="20"/>
          <w:lang w:val="el-GR"/>
        </w:rPr>
        <w:t xml:space="preserve"> (Δείκτης λειτουργικών κερδών πριν από καθαρές χρηματοοικονομικές δαπάνες και φόρους)</w:t>
      </w:r>
    </w:p>
    <w:p w14:paraId="6FC72DE0" w14:textId="77777777" w:rsidR="00A87A98" w:rsidRPr="0004155E" w:rsidRDefault="00A87A98" w:rsidP="00A87A98">
      <w:pPr>
        <w:autoSpaceDE w:val="0"/>
        <w:autoSpaceDN w:val="0"/>
        <w:adjustRightInd w:val="0"/>
        <w:jc w:val="both"/>
        <w:rPr>
          <w:rFonts w:ascii="Ping LCG Regular" w:hAnsi="Ping LCG Regular" w:cs="Calibri Light"/>
          <w:color w:val="000000"/>
          <w:sz w:val="20"/>
          <w:szCs w:val="20"/>
          <w:lang w:val="el-GR"/>
        </w:rPr>
      </w:pPr>
      <w:r w:rsidRPr="0004155E">
        <w:rPr>
          <w:rFonts w:ascii="Ping LCG Regular" w:hAnsi="Ping LCG Regular" w:cs="Calibri Light"/>
          <w:color w:val="000000"/>
          <w:sz w:val="20"/>
          <w:szCs w:val="20"/>
          <w:lang w:val="el-GR"/>
        </w:rPr>
        <w:t xml:space="preserve">Ο δείκτης </w:t>
      </w:r>
      <w:r w:rsidRPr="00E75E53">
        <w:rPr>
          <w:rFonts w:ascii="Ping LCG Regular" w:hAnsi="Ping LCG Regular" w:cs="Calibri Light"/>
          <w:color w:val="000000"/>
          <w:sz w:val="20"/>
          <w:szCs w:val="20"/>
        </w:rPr>
        <w:t>EBIT</w:t>
      </w:r>
      <w:r w:rsidRPr="0004155E">
        <w:rPr>
          <w:rFonts w:ascii="Ping LCG Regular" w:hAnsi="Ping LCG Regular" w:cs="Calibri Light"/>
          <w:color w:val="000000"/>
          <w:sz w:val="20"/>
          <w:szCs w:val="20"/>
          <w:lang w:val="el-GR"/>
        </w:rPr>
        <w:t xml:space="preserve"> εξυπηρετεί στην καλύτερη ανάλυση των λειτουργικών αποτελεσμάτων του Ομίλου και της Μητρικής Εταιρείας και υπολογίζεται ως εξής: </w:t>
      </w:r>
      <w:r w:rsidRPr="00E75E53">
        <w:rPr>
          <w:rFonts w:ascii="Ping LCG Regular" w:hAnsi="Ping LCG Regular" w:cs="Calibri Light"/>
          <w:color w:val="000000"/>
          <w:sz w:val="20"/>
          <w:szCs w:val="20"/>
        </w:rPr>
        <w:t>EBITDA</w:t>
      </w:r>
      <w:r w:rsidRPr="0004155E">
        <w:rPr>
          <w:rFonts w:ascii="Ping LCG Regular" w:hAnsi="Ping LCG Regular" w:cs="Calibri Light"/>
          <w:color w:val="000000"/>
          <w:sz w:val="20"/>
          <w:szCs w:val="20"/>
          <w:lang w:val="el-GR"/>
        </w:rPr>
        <w:t xml:space="preserve"> (Δείκτης λειτουργικών κερδών πριν από αποσβέσεις </w:t>
      </w:r>
      <w:r w:rsidRPr="0004155E">
        <w:rPr>
          <w:rFonts w:ascii="Ping LCG Regular" w:hAnsi="Ping LCG Regular" w:cs="Calibri Light"/>
          <w:color w:val="000000"/>
          <w:sz w:val="20"/>
          <w:szCs w:val="20"/>
          <w:lang w:val="el-GR"/>
        </w:rPr>
        <w:lastRenderedPageBreak/>
        <w:t xml:space="preserve">και απομειώσεις, καθαρές χρηματοοικονομικές δαπάνες και φόρους) μείον τα ποσά των αποσβέσεων και των τυχόν απομειώσεων. Το περιθώριο </w:t>
      </w:r>
      <w:r w:rsidRPr="00E75E53">
        <w:rPr>
          <w:rFonts w:ascii="Ping LCG Regular" w:hAnsi="Ping LCG Regular" w:cs="Calibri Light"/>
          <w:color w:val="000000"/>
          <w:sz w:val="20"/>
          <w:szCs w:val="20"/>
        </w:rPr>
        <w:t>EBIT</w:t>
      </w:r>
      <w:r w:rsidRPr="0004155E">
        <w:rPr>
          <w:rFonts w:ascii="Ping LCG Regular" w:hAnsi="Ping LCG Regular" w:cs="Calibri Light"/>
          <w:color w:val="000000"/>
          <w:sz w:val="20"/>
          <w:szCs w:val="20"/>
          <w:lang w:val="el-GR"/>
        </w:rPr>
        <w:t xml:space="preserve"> (%) υπολογίζεται διαιρώντας το </w:t>
      </w:r>
      <w:r w:rsidRPr="00E75E53">
        <w:rPr>
          <w:rFonts w:ascii="Ping LCG Regular" w:hAnsi="Ping LCG Regular" w:cs="Calibri Light"/>
          <w:color w:val="000000"/>
          <w:sz w:val="20"/>
          <w:szCs w:val="20"/>
        </w:rPr>
        <w:t>EBIT</w:t>
      </w:r>
      <w:r w:rsidRPr="0004155E">
        <w:rPr>
          <w:rFonts w:ascii="Ping LCG Regular" w:hAnsi="Ping LCG Regular" w:cs="Calibri Light"/>
          <w:color w:val="000000"/>
          <w:sz w:val="20"/>
          <w:szCs w:val="20"/>
          <w:lang w:val="el-GR"/>
        </w:rPr>
        <w:t xml:space="preserve"> με το σύνολο του κύκλου εργασιών. Ο υπολογισμοί παρουσιάζονται στον Πίνακα Δ.</w:t>
      </w:r>
    </w:p>
    <w:p w14:paraId="4737E2F0" w14:textId="77777777" w:rsidR="00A87A98" w:rsidRPr="0004155E" w:rsidRDefault="00A87A98" w:rsidP="00A87A98">
      <w:pPr>
        <w:autoSpaceDE w:val="0"/>
        <w:autoSpaceDN w:val="0"/>
        <w:adjustRightInd w:val="0"/>
        <w:jc w:val="both"/>
        <w:rPr>
          <w:rFonts w:ascii="Ping LCG Regular" w:hAnsi="Ping LCG Regular" w:cs="Calibri Light"/>
          <w:b/>
          <w:color w:val="000000"/>
          <w:sz w:val="20"/>
          <w:szCs w:val="20"/>
          <w:lang w:val="el-GR"/>
        </w:rPr>
      </w:pPr>
    </w:p>
    <w:p w14:paraId="4609E5A2" w14:textId="77777777" w:rsidR="00A87A98" w:rsidRPr="0004155E" w:rsidRDefault="00A87A98" w:rsidP="00A87A98">
      <w:pPr>
        <w:autoSpaceDE w:val="0"/>
        <w:autoSpaceDN w:val="0"/>
        <w:adjustRightInd w:val="0"/>
        <w:jc w:val="both"/>
        <w:rPr>
          <w:rFonts w:ascii="Ping LCG Regular" w:hAnsi="Ping LCG Regular" w:cs="Calibri Light"/>
          <w:b/>
          <w:color w:val="000000"/>
          <w:sz w:val="20"/>
          <w:szCs w:val="20"/>
          <w:lang w:val="el-GR"/>
        </w:rPr>
      </w:pPr>
      <w:r w:rsidRPr="0004155E">
        <w:rPr>
          <w:rFonts w:ascii="Ping LCG Regular" w:hAnsi="Ping LCG Regular" w:cs="Calibri Light"/>
          <w:b/>
          <w:color w:val="000000"/>
          <w:sz w:val="20"/>
          <w:szCs w:val="20"/>
          <w:lang w:val="el-GR"/>
        </w:rPr>
        <w:t>Καθαρό ποσό Αποσβέσεων Χρηματοοικονομικών Δαπανών και Κερδών από Συγγενείς Επιχειρήσεις.</w:t>
      </w:r>
    </w:p>
    <w:p w14:paraId="04BB4688" w14:textId="77777777" w:rsidR="00A87A98" w:rsidRPr="0004155E" w:rsidRDefault="00A87A98" w:rsidP="00A87A98">
      <w:pPr>
        <w:autoSpaceDE w:val="0"/>
        <w:autoSpaceDN w:val="0"/>
        <w:adjustRightInd w:val="0"/>
        <w:jc w:val="both"/>
        <w:rPr>
          <w:rFonts w:ascii="Ping LCG Regular" w:hAnsi="Ping LCG Regular" w:cs="Calibri Light"/>
          <w:color w:val="000000"/>
          <w:sz w:val="20"/>
          <w:szCs w:val="20"/>
          <w:lang w:val="el-GR"/>
        </w:rPr>
      </w:pPr>
      <w:r w:rsidRPr="0004155E">
        <w:rPr>
          <w:rFonts w:ascii="Ping LCG Regular" w:hAnsi="Ping LCG Regular" w:cs="Calibri Light"/>
          <w:color w:val="000000"/>
          <w:sz w:val="20"/>
          <w:szCs w:val="20"/>
          <w:lang w:val="el-GR"/>
        </w:rPr>
        <w:t>Ο Δείκτης αυτός υπολογίζεται ως το συμψηφισμένο καθαρό ποσό των κονδυλίων των αποσβέσεων χρήσης, των καθαρών χρηματοοικονομικών δαπανών και των κερδών / ζημιών από τις συγγενείς επιχειρήσεις του Ομίλου και της Μητρικής Εταιρείας. Οι υπολογισμοί παρουσιάζονται στον Πίνακα Ε.</w:t>
      </w:r>
    </w:p>
    <w:p w14:paraId="1F8D783F" w14:textId="77777777" w:rsidR="00A87A98" w:rsidRPr="0004155E" w:rsidRDefault="00A87A98" w:rsidP="00A87A98">
      <w:pPr>
        <w:autoSpaceDE w:val="0"/>
        <w:autoSpaceDN w:val="0"/>
        <w:adjustRightInd w:val="0"/>
        <w:jc w:val="both"/>
        <w:rPr>
          <w:rFonts w:ascii="Ping LCG Regular" w:hAnsi="Ping LCG Regular" w:cs="Calibri Light"/>
          <w:b/>
          <w:color w:val="000000"/>
          <w:sz w:val="20"/>
          <w:szCs w:val="20"/>
          <w:lang w:val="el-GR"/>
        </w:rPr>
      </w:pPr>
    </w:p>
    <w:p w14:paraId="114ABC24" w14:textId="77777777" w:rsidR="00A87A98" w:rsidRPr="0004155E" w:rsidRDefault="00A87A98" w:rsidP="00A87A98">
      <w:pPr>
        <w:autoSpaceDE w:val="0"/>
        <w:autoSpaceDN w:val="0"/>
        <w:adjustRightInd w:val="0"/>
        <w:jc w:val="both"/>
        <w:rPr>
          <w:rFonts w:ascii="Ping LCG Regular" w:hAnsi="Ping LCG Regular" w:cs="Calibri Light"/>
          <w:b/>
          <w:color w:val="000000"/>
          <w:sz w:val="20"/>
          <w:szCs w:val="20"/>
          <w:lang w:val="el-GR"/>
        </w:rPr>
      </w:pPr>
      <w:r w:rsidRPr="0004155E">
        <w:rPr>
          <w:rFonts w:ascii="Ping LCG Regular" w:hAnsi="Ping LCG Regular" w:cs="Calibri Light"/>
          <w:b/>
          <w:color w:val="000000"/>
          <w:sz w:val="20"/>
          <w:szCs w:val="20"/>
          <w:lang w:val="el-GR"/>
        </w:rPr>
        <w:t>Καθαρά Κέρδη/(Ζημίες) Προσαρμοσμένα (Δείκτης καθαρών Κερδών/(Ζημιών))</w:t>
      </w:r>
    </w:p>
    <w:p w14:paraId="7B206DD7" w14:textId="77777777" w:rsidR="00A87A98" w:rsidRPr="0004155E" w:rsidRDefault="00A87A98" w:rsidP="00A87A98">
      <w:pPr>
        <w:autoSpaceDE w:val="0"/>
        <w:autoSpaceDN w:val="0"/>
        <w:adjustRightInd w:val="0"/>
        <w:jc w:val="both"/>
        <w:rPr>
          <w:rFonts w:ascii="Ping LCG Regular" w:hAnsi="Ping LCG Regular" w:cs="Calibri Light"/>
          <w:bCs/>
          <w:color w:val="000000"/>
          <w:sz w:val="20"/>
          <w:szCs w:val="20"/>
          <w:lang w:val="el-GR"/>
        </w:rPr>
      </w:pPr>
      <w:r w:rsidRPr="0004155E">
        <w:rPr>
          <w:rFonts w:ascii="Ping LCG Regular" w:hAnsi="Ping LCG Regular" w:cs="Calibri Light"/>
          <w:bCs/>
          <w:color w:val="000000"/>
          <w:sz w:val="20"/>
          <w:szCs w:val="20"/>
          <w:lang w:val="el-GR"/>
        </w:rPr>
        <w:t xml:space="preserve">Ο δείκτης αυτός εξυπηρετεί στην καλύτερη ανάλυση των αποτελεσμάτων του Ομίλου και της Μητρικής Εταιρείας, εξαιρουμένης της επίδρασης των Ειδικών προσαρμογών, του υπολογισμένου φόρου επί αυτών, και εξαιρουμένων των </w:t>
      </w:r>
      <w:r w:rsidRPr="00E75E53">
        <w:rPr>
          <w:rFonts w:ascii="Ping LCG Regular" w:hAnsi="Ping LCG Regular" w:cs="Calibri Light"/>
          <w:bCs/>
          <w:color w:val="000000"/>
          <w:sz w:val="20"/>
          <w:szCs w:val="20"/>
        </w:rPr>
        <w:t>Y</w:t>
      </w:r>
      <w:r w:rsidRPr="0004155E">
        <w:rPr>
          <w:rFonts w:ascii="Ping LCG Regular" w:hAnsi="Ping LCG Regular" w:cs="Calibri Light"/>
          <w:bCs/>
          <w:color w:val="000000"/>
          <w:sz w:val="20"/>
          <w:szCs w:val="20"/>
          <w:lang w:val="el-GR"/>
        </w:rPr>
        <w:t>ποαξιών αποτίμησης περιουσιακών στοιχείων και του φόρου επί αυτών για το εξάμηνο 2024, ενώ για το εξάμηνο 2023 έχει εξαιρεθεί και η επίδραση του κέρδους από την πώληση θυγατρικής/απόσχισης κλάδου Μεταλιγνιτικής  και ο φόρος επί αυτού. Οι υπολογισμοί παρουσιάζονται στον Πίνακα ΣΤ.</w:t>
      </w:r>
    </w:p>
    <w:p w14:paraId="2622DD39" w14:textId="77777777" w:rsidR="00A87A98" w:rsidRPr="0004155E" w:rsidRDefault="00A87A98" w:rsidP="00A87A98">
      <w:pPr>
        <w:autoSpaceDE w:val="0"/>
        <w:autoSpaceDN w:val="0"/>
        <w:adjustRightInd w:val="0"/>
        <w:rPr>
          <w:rFonts w:ascii="Ping LCG Regular" w:hAnsi="Ping LCG Regular" w:cs="Calibri Light"/>
          <w:b/>
          <w:color w:val="000000"/>
          <w:sz w:val="20"/>
          <w:szCs w:val="20"/>
          <w:lang w:val="el-GR"/>
        </w:rPr>
      </w:pPr>
    </w:p>
    <w:p w14:paraId="228DA0F6" w14:textId="77777777" w:rsidR="00A87A98" w:rsidRPr="0004155E" w:rsidRDefault="00A87A98" w:rsidP="00A87A98">
      <w:pPr>
        <w:autoSpaceDE w:val="0"/>
        <w:autoSpaceDN w:val="0"/>
        <w:adjustRightInd w:val="0"/>
        <w:jc w:val="both"/>
        <w:rPr>
          <w:rFonts w:ascii="Ping LCG Regular" w:hAnsi="Ping LCG Regular" w:cs="Calibri Light"/>
          <w:b/>
          <w:color w:val="000000"/>
          <w:sz w:val="20"/>
          <w:szCs w:val="20"/>
          <w:lang w:val="el-GR"/>
        </w:rPr>
      </w:pPr>
      <w:r w:rsidRPr="0004155E">
        <w:rPr>
          <w:rFonts w:ascii="Ping LCG Regular" w:hAnsi="Ping LCG Regular" w:cs="Calibri Light"/>
          <w:b/>
          <w:color w:val="000000"/>
          <w:sz w:val="20"/>
          <w:szCs w:val="20"/>
          <w:lang w:val="el-GR"/>
        </w:rPr>
        <w:t>Καθαρά Κέρδη/(Ζημίες) μετά από Δικαιώματα Μειοψηφίας Προσαρμοσμένα</w:t>
      </w:r>
    </w:p>
    <w:p w14:paraId="2E64BB42" w14:textId="77777777" w:rsidR="00A87A98" w:rsidRPr="0004155E" w:rsidRDefault="00A87A98" w:rsidP="00A87A98">
      <w:pPr>
        <w:autoSpaceDE w:val="0"/>
        <w:autoSpaceDN w:val="0"/>
        <w:adjustRightInd w:val="0"/>
        <w:jc w:val="both"/>
        <w:rPr>
          <w:rFonts w:ascii="Ping LCG Regular" w:hAnsi="Ping LCG Regular" w:cs="Calibri Light"/>
          <w:b/>
          <w:color w:val="000000"/>
          <w:sz w:val="20"/>
          <w:szCs w:val="20"/>
          <w:lang w:val="el-GR"/>
        </w:rPr>
      </w:pPr>
      <w:r w:rsidRPr="0004155E">
        <w:rPr>
          <w:rFonts w:ascii="Ping LCG Regular" w:hAnsi="Ping LCG Regular" w:cs="Calibri Light"/>
          <w:bCs/>
          <w:color w:val="000000"/>
          <w:sz w:val="20"/>
          <w:szCs w:val="20"/>
          <w:lang w:val="el-GR"/>
        </w:rPr>
        <w:t>Τα Καθαρά Κέρδη/(Ζημίες) μετά από Δικαιώματα Μειοψηφίας Προσαρμοσμένα εξυπηρετούν στην καλύτερη ανάλυση των αποτελεσμάτων του Ομίλου, εξαιρουμένης της επίδρασης των Δικαιωμάτων μειοψηφίας, και των Δικαιωμάτων Μειοψηφίας επί των Ειδικών προσαρμογών. Οι υπολογισμοί παρουσιάζονται στον Πίνακα Ζ.</w:t>
      </w:r>
    </w:p>
    <w:p w14:paraId="6970AE29" w14:textId="77777777" w:rsidR="00A87A98" w:rsidRPr="0004155E" w:rsidRDefault="00A87A98" w:rsidP="00A87A98">
      <w:pPr>
        <w:autoSpaceDE w:val="0"/>
        <w:autoSpaceDN w:val="0"/>
        <w:adjustRightInd w:val="0"/>
        <w:rPr>
          <w:rFonts w:ascii="Ping LCG Regular" w:hAnsi="Ping LCG Regular" w:cs="Calibri Light"/>
          <w:b/>
          <w:color w:val="000000"/>
          <w:sz w:val="20"/>
          <w:szCs w:val="20"/>
          <w:lang w:val="el-GR"/>
        </w:rPr>
      </w:pPr>
    </w:p>
    <w:p w14:paraId="22D65D46" w14:textId="77777777" w:rsidR="00A87A98" w:rsidRPr="0004155E" w:rsidRDefault="00A87A98" w:rsidP="00A87A98">
      <w:pPr>
        <w:autoSpaceDE w:val="0"/>
        <w:autoSpaceDN w:val="0"/>
        <w:adjustRightInd w:val="0"/>
        <w:rPr>
          <w:rFonts w:ascii="Ping LCG Regular" w:hAnsi="Ping LCG Regular" w:cs="Calibri Light"/>
          <w:b/>
          <w:color w:val="000000"/>
          <w:sz w:val="20"/>
          <w:szCs w:val="20"/>
          <w:lang w:val="el-GR"/>
        </w:rPr>
      </w:pPr>
      <w:r w:rsidRPr="0004155E">
        <w:rPr>
          <w:rFonts w:ascii="Ping LCG Regular" w:hAnsi="Ping LCG Regular" w:cs="Calibri Light"/>
          <w:b/>
          <w:color w:val="000000"/>
          <w:sz w:val="20"/>
          <w:szCs w:val="20"/>
          <w:lang w:val="el-GR"/>
        </w:rPr>
        <w:t xml:space="preserve">Καθαρός Δανεισμός </w:t>
      </w:r>
    </w:p>
    <w:p w14:paraId="14C4FC02" w14:textId="77777777" w:rsidR="00A87A98" w:rsidRPr="00E75E53" w:rsidRDefault="00A87A98" w:rsidP="00A87A98">
      <w:pPr>
        <w:autoSpaceDE w:val="0"/>
        <w:autoSpaceDN w:val="0"/>
        <w:adjustRightInd w:val="0"/>
        <w:jc w:val="both"/>
        <w:rPr>
          <w:rFonts w:ascii="Ping LCG Regular" w:hAnsi="Ping LCG Regular" w:cs="Calibri Light"/>
          <w:color w:val="000000"/>
          <w:sz w:val="20"/>
          <w:szCs w:val="20"/>
        </w:rPr>
      </w:pPr>
      <w:r w:rsidRPr="0004155E">
        <w:rPr>
          <w:rFonts w:ascii="Ping LCG Regular" w:hAnsi="Ping LCG Regular" w:cs="Calibri Light"/>
          <w:color w:val="000000"/>
          <w:sz w:val="20"/>
          <w:szCs w:val="20"/>
          <w:lang w:val="el-GR"/>
        </w:rPr>
        <w:t xml:space="preserve">Ο καθαρός δανεισμός είναι ένας ΕΔΜΑ που χρησιμοποιεί η διοίκηση για να αξιολογήσει την κεφαλαιακή διάρθρωση του Ομίλου και της Μητρικής Εταιρείας και την δυνατότητα μόχλευσης. Ο καθαρός δανεισμός υπολογίζεται προσθέτοντας στα μακροπρόθεσμα δάνεια το βραχυπρόθεσμο μέρος μακροπρόθεσμων δανείων και τα βραχυπρόθεσμα δάνεια, αφαιρώντας από το σύνολο τα χρηματικά διαθέσιμα, τις δεσμευμένες καταθέσεις που αφορούν σε δανειακές συμβάσεις και τα χρηματοοικονομικά περιουσιακά στοιχεία επιμετρούμενα στην εύλογη αξία μέσω των συνολικών αποτελεσμάτων και προσθέτοντας το αναπόσβεστο μέρος των εξόδων σύναψης δανείων. </w:t>
      </w:r>
      <w:r w:rsidRPr="00A87A98">
        <w:rPr>
          <w:rFonts w:ascii="Ping LCG Regular" w:hAnsi="Ping LCG Regular" w:cs="Calibri Light"/>
          <w:color w:val="000000"/>
          <w:sz w:val="20"/>
          <w:szCs w:val="20"/>
        </w:rPr>
        <w:t xml:space="preserve">Οι υπολογισμοί παρουσιάζονται στον </w:t>
      </w:r>
      <w:r w:rsidRPr="0004155E">
        <w:rPr>
          <w:rFonts w:ascii="Ping LCG Regular" w:hAnsi="Ping LCG Regular" w:cs="Calibri Light"/>
          <w:color w:val="000000"/>
          <w:sz w:val="20"/>
          <w:szCs w:val="20"/>
        </w:rPr>
        <w:t>πίνακα Η.</w:t>
      </w:r>
    </w:p>
    <w:p w14:paraId="0E5AEFC4" w14:textId="77777777" w:rsidR="002D32C6" w:rsidRDefault="002D32C6" w:rsidP="002D32C6">
      <w:pPr>
        <w:autoSpaceDE w:val="0"/>
        <w:autoSpaceDN w:val="0"/>
        <w:adjustRightInd w:val="0"/>
        <w:jc w:val="both"/>
        <w:rPr>
          <w:rFonts w:ascii="Ping LCG Regular" w:hAnsi="Ping LCG Regular" w:cs="Calibri Light"/>
          <w:color w:val="000000"/>
          <w:sz w:val="20"/>
          <w:szCs w:val="20"/>
        </w:rPr>
      </w:pPr>
    </w:p>
    <w:p w14:paraId="7180A881" w14:textId="22CC8758" w:rsidR="00777113" w:rsidRDefault="00777113">
      <w:pPr>
        <w:rPr>
          <w:rFonts w:ascii="Ping LCG Regular" w:eastAsia="Calibri" w:hAnsi="Ping LCG Regular" w:cs="Arial"/>
          <w:sz w:val="20"/>
          <w:szCs w:val="20"/>
          <w:lang w:val="el-GR"/>
        </w:rPr>
      </w:pPr>
      <w:r>
        <w:rPr>
          <w:rFonts w:ascii="Ping LCG Regular" w:eastAsia="Calibri" w:hAnsi="Ping LCG Regular" w:cs="Arial"/>
          <w:sz w:val="20"/>
          <w:szCs w:val="20"/>
          <w:lang w:val="el-GR"/>
        </w:rPr>
        <w:br w:type="page"/>
      </w:r>
    </w:p>
    <w:p w14:paraId="53B29D78" w14:textId="112A21A5" w:rsidR="001A7865" w:rsidRDefault="001B446E" w:rsidP="00777113">
      <w:pPr>
        <w:rPr>
          <w:rFonts w:ascii="Ping LCG Regular" w:eastAsia="Calibri" w:hAnsi="Ping LCG Regular" w:cs="Arial"/>
          <w:sz w:val="20"/>
          <w:szCs w:val="20"/>
          <w:lang w:val="el-GR"/>
        </w:rPr>
      </w:pPr>
      <w:r w:rsidRPr="001B446E">
        <w:rPr>
          <w:noProof/>
        </w:rPr>
        <w:lastRenderedPageBreak/>
        <w:drawing>
          <wp:inline distT="0" distB="0" distL="0" distR="0" wp14:anchorId="55B3867C" wp14:editId="699CE31A">
            <wp:extent cx="5490210" cy="399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0210" cy="3992880"/>
                    </a:xfrm>
                    <a:prstGeom prst="rect">
                      <a:avLst/>
                    </a:prstGeom>
                    <a:noFill/>
                    <a:ln>
                      <a:noFill/>
                    </a:ln>
                  </pic:spPr>
                </pic:pic>
              </a:graphicData>
            </a:graphic>
          </wp:inline>
        </w:drawing>
      </w:r>
    </w:p>
    <w:p w14:paraId="04F03468" w14:textId="77777777" w:rsidR="001B446E" w:rsidRDefault="001B446E" w:rsidP="00777113">
      <w:pPr>
        <w:rPr>
          <w:rFonts w:ascii="Ping LCG Regular" w:eastAsia="Calibri" w:hAnsi="Ping LCG Regular" w:cs="Arial"/>
          <w:sz w:val="20"/>
          <w:szCs w:val="20"/>
          <w:lang w:val="el-GR"/>
        </w:rPr>
      </w:pPr>
    </w:p>
    <w:p w14:paraId="2A5A3328" w14:textId="77777777" w:rsidR="001B446E" w:rsidRDefault="001B446E" w:rsidP="00777113">
      <w:pPr>
        <w:rPr>
          <w:rFonts w:ascii="Ping LCG Regular" w:eastAsia="Calibri" w:hAnsi="Ping LCG Regular" w:cs="Arial"/>
          <w:sz w:val="20"/>
          <w:szCs w:val="20"/>
          <w:lang w:val="el-GR"/>
        </w:rPr>
      </w:pPr>
    </w:p>
    <w:p w14:paraId="411347AB" w14:textId="116799FF" w:rsidR="001B446E" w:rsidRDefault="001B446E" w:rsidP="00777113">
      <w:pPr>
        <w:rPr>
          <w:rFonts w:ascii="Ping LCG Regular" w:eastAsia="Calibri" w:hAnsi="Ping LCG Regular" w:cs="Arial"/>
          <w:sz w:val="20"/>
          <w:szCs w:val="20"/>
          <w:lang w:val="el-GR"/>
        </w:rPr>
      </w:pPr>
      <w:r w:rsidRPr="001B446E">
        <w:rPr>
          <w:noProof/>
        </w:rPr>
        <w:drawing>
          <wp:inline distT="0" distB="0" distL="0" distR="0" wp14:anchorId="534B4EE1" wp14:editId="67BDA7B5">
            <wp:extent cx="5490210" cy="1830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0210" cy="1830070"/>
                    </a:xfrm>
                    <a:prstGeom prst="rect">
                      <a:avLst/>
                    </a:prstGeom>
                    <a:noFill/>
                    <a:ln>
                      <a:noFill/>
                    </a:ln>
                  </pic:spPr>
                </pic:pic>
              </a:graphicData>
            </a:graphic>
          </wp:inline>
        </w:drawing>
      </w:r>
    </w:p>
    <w:p w14:paraId="64A75DEC" w14:textId="77777777" w:rsidR="001B446E" w:rsidRDefault="001B446E" w:rsidP="00777113">
      <w:pPr>
        <w:rPr>
          <w:rFonts w:ascii="Ping LCG Regular" w:eastAsia="Calibri" w:hAnsi="Ping LCG Regular" w:cs="Arial"/>
          <w:sz w:val="20"/>
          <w:szCs w:val="20"/>
          <w:lang w:val="el-GR"/>
        </w:rPr>
      </w:pPr>
    </w:p>
    <w:p w14:paraId="199CD3BB" w14:textId="77777777" w:rsidR="001B446E" w:rsidRDefault="001B446E" w:rsidP="00777113">
      <w:pPr>
        <w:rPr>
          <w:rFonts w:ascii="Ping LCG Regular" w:eastAsia="Calibri" w:hAnsi="Ping LCG Regular" w:cs="Arial"/>
          <w:sz w:val="20"/>
          <w:szCs w:val="20"/>
          <w:lang w:val="el-GR"/>
        </w:rPr>
      </w:pPr>
    </w:p>
    <w:p w14:paraId="2A2B9C3B" w14:textId="5F9398B6" w:rsidR="009D030F" w:rsidRDefault="009D030F" w:rsidP="00777113">
      <w:pPr>
        <w:rPr>
          <w:rFonts w:ascii="Ping LCG Regular" w:eastAsia="Calibri" w:hAnsi="Ping LCG Regular" w:cs="Arial"/>
          <w:sz w:val="20"/>
          <w:szCs w:val="20"/>
          <w:lang w:val="el-GR"/>
        </w:rPr>
      </w:pPr>
      <w:r w:rsidRPr="009D030F">
        <w:rPr>
          <w:noProof/>
        </w:rPr>
        <w:drawing>
          <wp:inline distT="0" distB="0" distL="0" distR="0" wp14:anchorId="275518A8" wp14:editId="1EA2A9CF">
            <wp:extent cx="5490210" cy="195897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0210" cy="1958975"/>
                    </a:xfrm>
                    <a:prstGeom prst="rect">
                      <a:avLst/>
                    </a:prstGeom>
                    <a:noFill/>
                    <a:ln>
                      <a:noFill/>
                    </a:ln>
                  </pic:spPr>
                </pic:pic>
              </a:graphicData>
            </a:graphic>
          </wp:inline>
        </w:drawing>
      </w:r>
    </w:p>
    <w:p w14:paraId="50D353B3" w14:textId="1E1EEF4F" w:rsidR="009D030F" w:rsidRDefault="009D030F" w:rsidP="00777113">
      <w:pPr>
        <w:rPr>
          <w:rFonts w:ascii="Ping LCG Regular" w:eastAsia="Calibri" w:hAnsi="Ping LCG Regular" w:cs="Arial"/>
          <w:sz w:val="20"/>
          <w:szCs w:val="20"/>
          <w:lang w:val="el-GR"/>
        </w:rPr>
      </w:pPr>
      <w:r w:rsidRPr="009D030F">
        <w:rPr>
          <w:noProof/>
        </w:rPr>
        <w:lastRenderedPageBreak/>
        <w:drawing>
          <wp:inline distT="0" distB="0" distL="0" distR="0" wp14:anchorId="1C0AD417" wp14:editId="4ACE122D">
            <wp:extent cx="5490210" cy="178689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0210" cy="1786890"/>
                    </a:xfrm>
                    <a:prstGeom prst="rect">
                      <a:avLst/>
                    </a:prstGeom>
                    <a:noFill/>
                    <a:ln>
                      <a:noFill/>
                    </a:ln>
                  </pic:spPr>
                </pic:pic>
              </a:graphicData>
            </a:graphic>
          </wp:inline>
        </w:drawing>
      </w:r>
    </w:p>
    <w:p w14:paraId="6607F513" w14:textId="77777777" w:rsidR="009D030F" w:rsidRDefault="009D030F" w:rsidP="00777113">
      <w:pPr>
        <w:rPr>
          <w:rFonts w:ascii="Ping LCG Regular" w:eastAsia="Calibri" w:hAnsi="Ping LCG Regular" w:cs="Arial"/>
          <w:sz w:val="20"/>
          <w:szCs w:val="20"/>
          <w:lang w:val="el-GR"/>
        </w:rPr>
      </w:pPr>
    </w:p>
    <w:p w14:paraId="496DE197" w14:textId="77777777" w:rsidR="009D030F" w:rsidRDefault="009D030F" w:rsidP="00777113">
      <w:pPr>
        <w:rPr>
          <w:rFonts w:ascii="Ping LCG Regular" w:eastAsia="Calibri" w:hAnsi="Ping LCG Regular" w:cs="Arial"/>
          <w:sz w:val="20"/>
          <w:szCs w:val="20"/>
          <w:lang w:val="el-GR"/>
        </w:rPr>
      </w:pPr>
    </w:p>
    <w:p w14:paraId="28B75D67" w14:textId="1670653E" w:rsidR="009D030F" w:rsidRDefault="008E2445" w:rsidP="00777113">
      <w:pPr>
        <w:rPr>
          <w:rFonts w:ascii="Ping LCG Regular" w:eastAsia="Calibri" w:hAnsi="Ping LCG Regular" w:cs="Arial"/>
          <w:sz w:val="20"/>
          <w:szCs w:val="20"/>
          <w:lang w:val="el-GR"/>
        </w:rPr>
      </w:pPr>
      <w:r w:rsidRPr="008E2445">
        <w:rPr>
          <w:noProof/>
        </w:rPr>
        <w:drawing>
          <wp:inline distT="0" distB="0" distL="0" distR="0" wp14:anchorId="065CF4F7" wp14:editId="52116012">
            <wp:extent cx="5490210" cy="19640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0210" cy="1964055"/>
                    </a:xfrm>
                    <a:prstGeom prst="rect">
                      <a:avLst/>
                    </a:prstGeom>
                    <a:noFill/>
                    <a:ln>
                      <a:noFill/>
                    </a:ln>
                  </pic:spPr>
                </pic:pic>
              </a:graphicData>
            </a:graphic>
          </wp:inline>
        </w:drawing>
      </w:r>
    </w:p>
    <w:p w14:paraId="0C7E152F" w14:textId="77777777" w:rsidR="008E2445" w:rsidRDefault="008E2445" w:rsidP="00777113">
      <w:pPr>
        <w:rPr>
          <w:rFonts w:ascii="Ping LCG Regular" w:eastAsia="Calibri" w:hAnsi="Ping LCG Regular" w:cs="Arial"/>
          <w:sz w:val="20"/>
          <w:szCs w:val="20"/>
          <w:lang w:val="el-GR"/>
        </w:rPr>
      </w:pPr>
    </w:p>
    <w:p w14:paraId="61700EDA" w14:textId="77777777" w:rsidR="008E2445" w:rsidRDefault="008E2445" w:rsidP="00777113">
      <w:pPr>
        <w:rPr>
          <w:rFonts w:ascii="Ping LCG Regular" w:eastAsia="Calibri" w:hAnsi="Ping LCG Regular" w:cs="Arial"/>
          <w:sz w:val="20"/>
          <w:szCs w:val="20"/>
          <w:lang w:val="el-GR"/>
        </w:rPr>
      </w:pPr>
    </w:p>
    <w:p w14:paraId="192B284E" w14:textId="4FF8FD03" w:rsidR="008E2445" w:rsidRDefault="008E2445" w:rsidP="00777113">
      <w:pPr>
        <w:rPr>
          <w:rFonts w:ascii="Ping LCG Regular" w:eastAsia="Calibri" w:hAnsi="Ping LCG Regular" w:cs="Arial"/>
          <w:sz w:val="20"/>
          <w:szCs w:val="20"/>
          <w:lang w:val="el-GR"/>
        </w:rPr>
      </w:pPr>
      <w:r w:rsidRPr="008E2445">
        <w:rPr>
          <w:noProof/>
        </w:rPr>
        <w:drawing>
          <wp:inline distT="0" distB="0" distL="0" distR="0" wp14:anchorId="3F437F29" wp14:editId="4DFCEFAA">
            <wp:extent cx="5490210" cy="28657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0210" cy="2865755"/>
                    </a:xfrm>
                    <a:prstGeom prst="rect">
                      <a:avLst/>
                    </a:prstGeom>
                    <a:noFill/>
                    <a:ln>
                      <a:noFill/>
                    </a:ln>
                  </pic:spPr>
                </pic:pic>
              </a:graphicData>
            </a:graphic>
          </wp:inline>
        </w:drawing>
      </w:r>
    </w:p>
    <w:p w14:paraId="4E408282" w14:textId="77777777" w:rsidR="008E2445" w:rsidRDefault="008E2445" w:rsidP="00777113">
      <w:pPr>
        <w:rPr>
          <w:rFonts w:ascii="Ping LCG Regular" w:eastAsia="Calibri" w:hAnsi="Ping LCG Regular" w:cs="Arial"/>
          <w:sz w:val="20"/>
          <w:szCs w:val="20"/>
          <w:lang w:val="el-GR"/>
        </w:rPr>
      </w:pPr>
    </w:p>
    <w:p w14:paraId="79AA7958" w14:textId="77777777" w:rsidR="008E2445" w:rsidRDefault="008E2445" w:rsidP="00777113">
      <w:pPr>
        <w:rPr>
          <w:rFonts w:ascii="Ping LCG Regular" w:eastAsia="Calibri" w:hAnsi="Ping LCG Regular" w:cs="Arial"/>
          <w:sz w:val="20"/>
          <w:szCs w:val="20"/>
          <w:lang w:val="el-GR"/>
        </w:rPr>
      </w:pPr>
    </w:p>
    <w:p w14:paraId="4A8998E1" w14:textId="56593958" w:rsidR="008E2445" w:rsidRDefault="008E2445" w:rsidP="00777113">
      <w:pPr>
        <w:rPr>
          <w:rFonts w:ascii="Ping LCG Regular" w:eastAsia="Calibri" w:hAnsi="Ping LCG Regular" w:cs="Arial"/>
          <w:sz w:val="20"/>
          <w:szCs w:val="20"/>
          <w:lang w:val="el-GR"/>
        </w:rPr>
      </w:pPr>
    </w:p>
    <w:p w14:paraId="0B86B2F3" w14:textId="77777777" w:rsidR="007732BD" w:rsidRDefault="007732BD" w:rsidP="00777113">
      <w:pPr>
        <w:rPr>
          <w:rFonts w:ascii="Ping LCG Regular" w:eastAsia="Calibri" w:hAnsi="Ping LCG Regular" w:cs="Arial"/>
          <w:sz w:val="20"/>
          <w:szCs w:val="20"/>
          <w:lang w:val="el-GR"/>
        </w:rPr>
      </w:pPr>
    </w:p>
    <w:p w14:paraId="169A5B19" w14:textId="77777777" w:rsidR="007732BD" w:rsidRDefault="007732BD" w:rsidP="00777113">
      <w:pPr>
        <w:rPr>
          <w:rFonts w:ascii="Ping LCG Regular" w:eastAsia="Calibri" w:hAnsi="Ping LCG Regular" w:cs="Arial"/>
          <w:sz w:val="20"/>
          <w:szCs w:val="20"/>
          <w:lang w:val="el-GR"/>
        </w:rPr>
      </w:pPr>
    </w:p>
    <w:p w14:paraId="71E03274" w14:textId="46D3D47A" w:rsidR="007732BD" w:rsidRDefault="007732BD" w:rsidP="00777113">
      <w:pPr>
        <w:rPr>
          <w:rFonts w:ascii="Ping LCG Regular" w:eastAsia="Calibri" w:hAnsi="Ping LCG Regular" w:cs="Arial"/>
          <w:sz w:val="20"/>
          <w:szCs w:val="20"/>
        </w:rPr>
      </w:pPr>
    </w:p>
    <w:p w14:paraId="6278185E" w14:textId="77777777" w:rsidR="00636319" w:rsidRDefault="00636319" w:rsidP="00777113">
      <w:pPr>
        <w:rPr>
          <w:rFonts w:ascii="Ping LCG Regular" w:eastAsia="Calibri" w:hAnsi="Ping LCG Regular" w:cs="Arial"/>
          <w:sz w:val="20"/>
          <w:szCs w:val="20"/>
        </w:rPr>
      </w:pPr>
    </w:p>
    <w:p w14:paraId="4331C7C0" w14:textId="77777777" w:rsidR="00D379B8" w:rsidRDefault="00D379B8" w:rsidP="00777113">
      <w:pPr>
        <w:rPr>
          <w:rFonts w:ascii="Ping LCG Regular" w:eastAsia="Calibri" w:hAnsi="Ping LCG Regular" w:cs="Arial"/>
          <w:sz w:val="20"/>
          <w:szCs w:val="20"/>
        </w:rPr>
      </w:pPr>
    </w:p>
    <w:p w14:paraId="62816552" w14:textId="77777777" w:rsidR="00636319" w:rsidRDefault="00636319" w:rsidP="00777113">
      <w:pPr>
        <w:rPr>
          <w:rFonts w:ascii="Ping LCG Regular" w:eastAsia="Calibri" w:hAnsi="Ping LCG Regular" w:cs="Arial"/>
          <w:sz w:val="20"/>
          <w:szCs w:val="20"/>
        </w:rPr>
      </w:pPr>
    </w:p>
    <w:p w14:paraId="67D1CC61" w14:textId="1FAE3226" w:rsidR="00636319" w:rsidRDefault="00DB5EDE" w:rsidP="00777113">
      <w:pPr>
        <w:rPr>
          <w:rFonts w:ascii="Ping LCG Regular" w:eastAsia="Calibri" w:hAnsi="Ping LCG Regular" w:cs="Arial"/>
          <w:sz w:val="20"/>
          <w:szCs w:val="20"/>
        </w:rPr>
      </w:pPr>
      <w:r w:rsidRPr="00DB5EDE">
        <w:rPr>
          <w:noProof/>
        </w:rPr>
        <w:drawing>
          <wp:inline distT="0" distB="0" distL="0" distR="0" wp14:anchorId="122EBD56" wp14:editId="124135A7">
            <wp:extent cx="5490210" cy="19107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0210" cy="1910715"/>
                    </a:xfrm>
                    <a:prstGeom prst="rect">
                      <a:avLst/>
                    </a:prstGeom>
                    <a:noFill/>
                    <a:ln>
                      <a:noFill/>
                    </a:ln>
                  </pic:spPr>
                </pic:pic>
              </a:graphicData>
            </a:graphic>
          </wp:inline>
        </w:drawing>
      </w:r>
    </w:p>
    <w:p w14:paraId="262DACE4" w14:textId="77777777" w:rsidR="00810F6A" w:rsidRDefault="00810F6A" w:rsidP="00777113">
      <w:pPr>
        <w:rPr>
          <w:rFonts w:ascii="Ping LCG Regular" w:eastAsia="Calibri" w:hAnsi="Ping LCG Regular" w:cs="Arial"/>
          <w:sz w:val="20"/>
          <w:szCs w:val="20"/>
        </w:rPr>
      </w:pPr>
    </w:p>
    <w:p w14:paraId="44EB8C4D" w14:textId="77777777" w:rsidR="00DB5EDE" w:rsidRDefault="00DB5EDE" w:rsidP="00777113">
      <w:pPr>
        <w:rPr>
          <w:rFonts w:ascii="Ping LCG Regular" w:eastAsia="Calibri" w:hAnsi="Ping LCG Regular" w:cs="Arial"/>
          <w:sz w:val="20"/>
          <w:szCs w:val="20"/>
        </w:rPr>
      </w:pPr>
    </w:p>
    <w:p w14:paraId="570A8242" w14:textId="77777777" w:rsidR="00DB5EDE" w:rsidRDefault="00DB5EDE" w:rsidP="00777113">
      <w:pPr>
        <w:rPr>
          <w:rFonts w:ascii="Ping LCG Regular" w:eastAsia="Calibri" w:hAnsi="Ping LCG Regular" w:cs="Arial"/>
          <w:sz w:val="20"/>
          <w:szCs w:val="20"/>
        </w:rPr>
      </w:pPr>
    </w:p>
    <w:p w14:paraId="248403E5" w14:textId="34554633" w:rsidR="00DB5EDE" w:rsidRPr="0004155E" w:rsidRDefault="00810F6A" w:rsidP="00777113">
      <w:pPr>
        <w:rPr>
          <w:rFonts w:ascii="Ping LCG Regular" w:eastAsia="Calibri" w:hAnsi="Ping LCG Regular" w:cs="Arial"/>
          <w:sz w:val="20"/>
          <w:szCs w:val="20"/>
        </w:rPr>
      </w:pPr>
      <w:r w:rsidRPr="00810F6A">
        <w:rPr>
          <w:noProof/>
        </w:rPr>
        <w:drawing>
          <wp:inline distT="0" distB="0" distL="0" distR="0" wp14:anchorId="6B12CABD" wp14:editId="5E4ABBEC">
            <wp:extent cx="5490210" cy="190055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90210" cy="1900555"/>
                    </a:xfrm>
                    <a:prstGeom prst="rect">
                      <a:avLst/>
                    </a:prstGeom>
                    <a:noFill/>
                    <a:ln>
                      <a:noFill/>
                    </a:ln>
                  </pic:spPr>
                </pic:pic>
              </a:graphicData>
            </a:graphic>
          </wp:inline>
        </w:drawing>
      </w:r>
    </w:p>
    <w:p w14:paraId="60CF3E08" w14:textId="77777777" w:rsidR="009D030F" w:rsidRPr="00212CE6" w:rsidRDefault="009D030F" w:rsidP="00777113">
      <w:pPr>
        <w:rPr>
          <w:rFonts w:ascii="Ping LCG Regular" w:eastAsia="Calibri" w:hAnsi="Ping LCG Regular" w:cs="Arial"/>
          <w:sz w:val="20"/>
          <w:szCs w:val="20"/>
          <w:lang w:val="el-GR"/>
        </w:rPr>
      </w:pPr>
    </w:p>
    <w:sectPr w:rsidR="009D030F" w:rsidRPr="00212CE6" w:rsidSect="00B50C9B">
      <w:headerReference w:type="even" r:id="rId25"/>
      <w:headerReference w:type="default" r:id="rId26"/>
      <w:footerReference w:type="even" r:id="rId27"/>
      <w:footerReference w:type="default" r:id="rId28"/>
      <w:headerReference w:type="first" r:id="rId29"/>
      <w:footerReference w:type="first" r:id="rId30"/>
      <w:pgSz w:w="11900" w:h="16840"/>
      <w:pgMar w:top="1702" w:right="1694" w:bottom="284" w:left="1560" w:header="0" w:footer="141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B46CB" w14:textId="77777777" w:rsidR="00EE3076" w:rsidRDefault="00EE3076" w:rsidP="0054172F">
      <w:r>
        <w:separator/>
      </w:r>
    </w:p>
  </w:endnote>
  <w:endnote w:type="continuationSeparator" w:id="0">
    <w:p w14:paraId="301EB9C3" w14:textId="77777777" w:rsidR="00EE3076" w:rsidRDefault="00EE3076" w:rsidP="0054172F">
      <w:r>
        <w:continuationSeparator/>
      </w:r>
    </w:p>
  </w:endnote>
  <w:endnote w:type="continuationNotice" w:id="1">
    <w:p w14:paraId="32BEF331" w14:textId="77777777" w:rsidR="00EE3076" w:rsidRDefault="00EE3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ing LCG Regular">
    <w:altName w:val="Calibri"/>
    <w:panose1 w:val="00000000000000000000"/>
    <w:charset w:val="00"/>
    <w:family w:val="modern"/>
    <w:notTrueType/>
    <w:pitch w:val="variable"/>
    <w:sig w:usb0="E00002FF" w:usb1="5001E47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dy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Pr>
      <w:id w:val="-1785490327"/>
      <w:docPartObj>
        <w:docPartGallery w:val="Page Numbers (Bottom of Page)"/>
        <w:docPartUnique/>
      </w:docPartObj>
    </w:sdtPr>
    <w:sdtContent>
      <w:p w14:paraId="634B7564" w14:textId="1081F108" w:rsidR="00277187" w:rsidRDefault="00277187" w:rsidP="00C30099">
        <w:pPr>
          <w:pStyle w:val="a4"/>
          <w:framePr w:wrap="none" w:vAnchor="text" w:hAnchor="margin" w:y="1"/>
          <w:rPr>
            <w:rStyle w:val="a7"/>
          </w:rPr>
        </w:pPr>
        <w:r>
          <w:rPr>
            <w:rStyle w:val="a7"/>
          </w:rPr>
          <w:fldChar w:fldCharType="begin"/>
        </w:r>
        <w:r>
          <w:rPr>
            <w:rStyle w:val="a7"/>
          </w:rPr>
          <w:instrText xml:space="preserve"> PAGE </w:instrText>
        </w:r>
        <w:r>
          <w:rPr>
            <w:rStyle w:val="a7"/>
          </w:rPr>
          <w:fldChar w:fldCharType="end"/>
        </w:r>
      </w:p>
    </w:sdtContent>
  </w:sdt>
  <w:p w14:paraId="1B38097A" w14:textId="77777777" w:rsidR="00277187" w:rsidRDefault="00277187" w:rsidP="00277187">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Fonts w:ascii="Ping LCG Regular" w:hAnsi="Ping LCG Regular"/>
        <w:sz w:val="16"/>
        <w:szCs w:val="16"/>
      </w:rPr>
      <w:id w:val="-472456482"/>
      <w:docPartObj>
        <w:docPartGallery w:val="Page Numbers (Bottom of Page)"/>
        <w:docPartUnique/>
      </w:docPartObj>
    </w:sdtPr>
    <w:sdtEndPr>
      <w:rPr>
        <w:rStyle w:val="a7"/>
        <w:color w:val="FFFFFF" w:themeColor="background1"/>
      </w:rPr>
    </w:sdtEndPr>
    <w:sdtContent>
      <w:p w14:paraId="44C738F4" w14:textId="7C5B8C9F" w:rsidR="00277187" w:rsidRPr="0028254A" w:rsidRDefault="00277187" w:rsidP="00F5169D">
        <w:pPr>
          <w:pStyle w:val="a4"/>
          <w:framePr w:w="561" w:wrap="notBeside" w:vAnchor="page" w:hAnchor="page" w:x="10601" w:y="16267"/>
          <w:jc w:val="right"/>
          <w:rPr>
            <w:rStyle w:val="a7"/>
            <w:rFonts w:ascii="Ping LCG Regular" w:hAnsi="Ping LCG Regular"/>
            <w:color w:val="FFFFFF" w:themeColor="background1"/>
            <w:sz w:val="16"/>
            <w:szCs w:val="16"/>
          </w:rPr>
        </w:pPr>
        <w:r w:rsidRPr="0028254A">
          <w:rPr>
            <w:rStyle w:val="a7"/>
            <w:rFonts w:ascii="Ping LCG Regular" w:hAnsi="Ping LCG Regular"/>
            <w:color w:val="FFFFFF" w:themeColor="background1"/>
            <w:sz w:val="16"/>
            <w:szCs w:val="16"/>
          </w:rPr>
          <w:fldChar w:fldCharType="begin"/>
        </w:r>
        <w:r w:rsidRPr="0028254A">
          <w:rPr>
            <w:rStyle w:val="a7"/>
            <w:rFonts w:ascii="Ping LCG Regular" w:hAnsi="Ping LCG Regular"/>
            <w:color w:val="FFFFFF" w:themeColor="background1"/>
            <w:sz w:val="16"/>
            <w:szCs w:val="16"/>
          </w:rPr>
          <w:instrText xml:space="preserve"> PAGE </w:instrText>
        </w:r>
        <w:r w:rsidRPr="0028254A">
          <w:rPr>
            <w:rStyle w:val="a7"/>
            <w:rFonts w:ascii="Ping LCG Regular" w:hAnsi="Ping LCG Regular"/>
            <w:color w:val="FFFFFF" w:themeColor="background1"/>
            <w:sz w:val="16"/>
            <w:szCs w:val="16"/>
          </w:rPr>
          <w:fldChar w:fldCharType="separate"/>
        </w:r>
        <w:r w:rsidRPr="0028254A">
          <w:rPr>
            <w:rStyle w:val="a7"/>
            <w:rFonts w:ascii="Ping LCG Regular" w:hAnsi="Ping LCG Regular"/>
            <w:noProof/>
            <w:color w:val="FFFFFF" w:themeColor="background1"/>
            <w:sz w:val="16"/>
            <w:szCs w:val="16"/>
          </w:rPr>
          <w:t>2</w:t>
        </w:r>
        <w:r w:rsidRPr="0028254A">
          <w:rPr>
            <w:rStyle w:val="a7"/>
            <w:rFonts w:ascii="Ping LCG Regular" w:hAnsi="Ping LCG Regular"/>
            <w:color w:val="FFFFFF" w:themeColor="background1"/>
            <w:sz w:val="16"/>
            <w:szCs w:val="16"/>
          </w:rPr>
          <w:fldChar w:fldCharType="end"/>
        </w:r>
      </w:p>
    </w:sdtContent>
  </w:sdt>
  <w:p w14:paraId="4A55A45F" w14:textId="2389305F" w:rsidR="00351929" w:rsidRPr="00F95A9D" w:rsidRDefault="007D4ABD" w:rsidP="00C30099">
    <w:pPr>
      <w:pStyle w:val="a4"/>
      <w:ind w:firstLine="360"/>
      <w:rPr>
        <w:lang w:val="el-GR"/>
      </w:rPr>
    </w:pPr>
    <w:r>
      <w:rPr>
        <w:noProof/>
      </w:rPr>
      <w:drawing>
        <wp:anchor distT="0" distB="0" distL="114300" distR="114300" simplePos="0" relativeHeight="251657728" behindDoc="1" locked="0" layoutInCell="1" allowOverlap="1" wp14:anchorId="61116468" wp14:editId="7FF7FC3B">
          <wp:simplePos x="0" y="0"/>
          <wp:positionH relativeFrom="page">
            <wp:align>left</wp:align>
          </wp:positionH>
          <wp:positionV relativeFrom="page">
            <wp:align>bottom</wp:align>
          </wp:positionV>
          <wp:extent cx="7559044" cy="838200"/>
          <wp:effectExtent l="0" t="0" r="3810" b="0"/>
          <wp:wrapNone/>
          <wp:docPr id="2062889841" name="Picture 2062889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23595" name="Picture 246323595"/>
                  <pic:cNvPicPr/>
                </pic:nvPicPr>
                <pic:blipFill>
                  <a:blip r:embed="rId1">
                    <a:extLst>
                      <a:ext uri="{28A0092B-C50C-407E-A947-70E740481C1C}">
                        <a14:useLocalDpi xmlns:a14="http://schemas.microsoft.com/office/drawing/2010/main" val="0"/>
                      </a:ext>
                    </a:extLst>
                  </a:blip>
                  <a:stretch>
                    <a:fillRect/>
                  </a:stretch>
                </pic:blipFill>
                <pic:spPr>
                  <a:xfrm>
                    <a:off x="0" y="0"/>
                    <a:ext cx="7559044" cy="838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40C8E" w14:textId="51F378C7" w:rsidR="001B100F" w:rsidRDefault="007D4ABD" w:rsidP="00277187">
    <w:pPr>
      <w:pStyle w:val="a4"/>
      <w:ind w:firstLine="360"/>
    </w:pPr>
    <w:r>
      <w:rPr>
        <w:noProof/>
      </w:rPr>
      <w:drawing>
        <wp:anchor distT="0" distB="0" distL="114300" distR="114300" simplePos="0" relativeHeight="251655680" behindDoc="1" locked="0" layoutInCell="1" allowOverlap="1" wp14:anchorId="046D5A3D" wp14:editId="1082AEA3">
          <wp:simplePos x="0" y="0"/>
          <wp:positionH relativeFrom="page">
            <wp:align>left</wp:align>
          </wp:positionH>
          <wp:positionV relativeFrom="page">
            <wp:align>bottom</wp:align>
          </wp:positionV>
          <wp:extent cx="7559044" cy="838200"/>
          <wp:effectExtent l="0" t="0" r="3810" b="0"/>
          <wp:wrapNone/>
          <wp:docPr id="1222143940" name="Picture 1222143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79412" name="Picture 1032079412"/>
                  <pic:cNvPicPr/>
                </pic:nvPicPr>
                <pic:blipFill>
                  <a:blip r:embed="rId1">
                    <a:extLst>
                      <a:ext uri="{28A0092B-C50C-407E-A947-70E740481C1C}">
                        <a14:useLocalDpi xmlns:a14="http://schemas.microsoft.com/office/drawing/2010/main" val="0"/>
                      </a:ext>
                    </a:extLst>
                  </a:blip>
                  <a:stretch>
                    <a:fillRect/>
                  </a:stretch>
                </pic:blipFill>
                <pic:spPr>
                  <a:xfrm>
                    <a:off x="0" y="0"/>
                    <a:ext cx="7559044" cy="838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44020" w14:textId="77777777" w:rsidR="00EE3076" w:rsidRDefault="00EE3076" w:rsidP="0054172F">
      <w:r>
        <w:separator/>
      </w:r>
    </w:p>
  </w:footnote>
  <w:footnote w:type="continuationSeparator" w:id="0">
    <w:p w14:paraId="7B4D10F9" w14:textId="77777777" w:rsidR="00EE3076" w:rsidRDefault="00EE3076" w:rsidP="0054172F">
      <w:r>
        <w:continuationSeparator/>
      </w:r>
    </w:p>
  </w:footnote>
  <w:footnote w:type="continuationNotice" w:id="1">
    <w:p w14:paraId="16A1FC1C" w14:textId="77777777" w:rsidR="00EE3076" w:rsidRDefault="00EE3076"/>
  </w:footnote>
  <w:footnote w:id="2">
    <w:p w14:paraId="6E05C23F" w14:textId="2FC67BB6" w:rsidR="00F55B7C" w:rsidRPr="000E7238" w:rsidRDefault="00F55B7C" w:rsidP="00F55B7C">
      <w:pPr>
        <w:pStyle w:val="ad"/>
        <w:rPr>
          <w:lang w:val="el-GR"/>
        </w:rPr>
      </w:pPr>
      <w:r w:rsidRPr="006F72BA">
        <w:rPr>
          <w:rStyle w:val="ae"/>
          <w:sz w:val="16"/>
          <w:szCs w:val="16"/>
        </w:rPr>
        <w:footnoteRef/>
      </w:r>
      <w:r w:rsidRPr="006F72BA">
        <w:rPr>
          <w:sz w:val="16"/>
          <w:szCs w:val="16"/>
          <w:lang w:val="el-GR"/>
        </w:rPr>
        <w:t xml:space="preserve"> </w:t>
      </w:r>
      <w:r w:rsidR="009E7B3F">
        <w:rPr>
          <w:sz w:val="16"/>
          <w:szCs w:val="16"/>
          <w:lang w:val="el-GR"/>
        </w:rPr>
        <w:t xml:space="preserve">Ανάλυση των μεγεθών παρέχεται στους </w:t>
      </w:r>
      <w:r w:rsidR="0019373F">
        <w:rPr>
          <w:sz w:val="16"/>
          <w:szCs w:val="16"/>
          <w:lang w:val="el-GR"/>
        </w:rPr>
        <w:t>Εναλλακτικούς</w:t>
      </w:r>
      <w:r w:rsidR="009E7B3F">
        <w:rPr>
          <w:sz w:val="16"/>
          <w:szCs w:val="16"/>
          <w:lang w:val="el-GR"/>
        </w:rPr>
        <w:t xml:space="preserve"> Δείκτες </w:t>
      </w:r>
      <w:r w:rsidR="001170DE">
        <w:rPr>
          <w:sz w:val="16"/>
          <w:szCs w:val="16"/>
          <w:lang w:val="el-GR"/>
        </w:rPr>
        <w:t>Μέτρησης</w:t>
      </w:r>
      <w:r w:rsidR="002419CD">
        <w:rPr>
          <w:sz w:val="16"/>
          <w:szCs w:val="16"/>
          <w:lang w:val="el-GR"/>
        </w:rPr>
        <w:t xml:space="preserve"> και Απόδοσης στο Παράρτημ</w:t>
      </w:r>
      <w:r w:rsidR="0019373F">
        <w:rPr>
          <w:sz w:val="16"/>
          <w:szCs w:val="16"/>
          <w:lang w:val="el-GR"/>
        </w:rPr>
        <w:t>α</w:t>
      </w:r>
      <w:r w:rsidR="002419CD">
        <w:rPr>
          <w:sz w:val="16"/>
          <w:szCs w:val="16"/>
          <w:lang w:val="el-GR"/>
        </w:rPr>
        <w:t xml:space="preserve"> ΙΙ. </w:t>
      </w:r>
    </w:p>
  </w:footnote>
  <w:footnote w:id="3">
    <w:p w14:paraId="7EF4393E" w14:textId="41C2B8A3" w:rsidR="001A3B5F" w:rsidRPr="00983E94" w:rsidRDefault="001A3B5F">
      <w:pPr>
        <w:pStyle w:val="ad"/>
        <w:rPr>
          <w:sz w:val="16"/>
          <w:szCs w:val="16"/>
          <w:lang w:val="el-GR"/>
        </w:rPr>
      </w:pPr>
      <w:r w:rsidRPr="006F72BA">
        <w:rPr>
          <w:rStyle w:val="ae"/>
        </w:rPr>
        <w:footnoteRef/>
      </w:r>
      <w:r w:rsidRPr="006F72BA">
        <w:rPr>
          <w:lang w:val="el-GR"/>
        </w:rPr>
        <w:t xml:space="preserve"> </w:t>
      </w:r>
      <w:r w:rsidR="00983E94" w:rsidRPr="006F72BA">
        <w:rPr>
          <w:sz w:val="16"/>
          <w:szCs w:val="16"/>
          <w:lang w:val="el-GR"/>
        </w:rPr>
        <w:t xml:space="preserve">Ανάλυση των μεγεθών παρέχεται στους Εναλλακτικούς Δείκτες Μέτρησης και Απόδοσης στο Παράρτημα ΙΙ. </w:t>
      </w:r>
    </w:p>
  </w:footnote>
  <w:footnote w:id="4">
    <w:p w14:paraId="7C4208DB" w14:textId="6EF87AAB" w:rsidR="00C63A81" w:rsidRPr="0004155E" w:rsidRDefault="00C63A81" w:rsidP="00983E94">
      <w:pPr>
        <w:pStyle w:val="ad"/>
        <w:rPr>
          <w:sz w:val="16"/>
          <w:szCs w:val="16"/>
          <w:lang w:val="el-GR"/>
        </w:rPr>
      </w:pPr>
      <w:r w:rsidRPr="00AC4956">
        <w:rPr>
          <w:rStyle w:val="ae"/>
        </w:rPr>
        <w:footnoteRef/>
      </w:r>
      <w:r w:rsidRPr="0004155E">
        <w:rPr>
          <w:rStyle w:val="ae"/>
          <w:lang w:val="el-GR"/>
        </w:rPr>
        <w:t xml:space="preserve"> </w:t>
      </w:r>
      <w:r w:rsidR="00983E94" w:rsidRPr="00983E94">
        <w:rPr>
          <w:sz w:val="16"/>
          <w:szCs w:val="16"/>
          <w:lang w:val="el-GR"/>
        </w:rPr>
        <w:t>Ανάλυση των</w:t>
      </w:r>
      <w:r w:rsidR="00983E94">
        <w:rPr>
          <w:sz w:val="16"/>
          <w:szCs w:val="16"/>
          <w:lang w:val="el-GR"/>
        </w:rPr>
        <w:t xml:space="preserve"> μεγεθών παρέχεται στους Εναλλακτικούς Δείκτες Μέτρησης και Απόδοσης στο Παράρτημα ΙΙ. </w:t>
      </w:r>
    </w:p>
  </w:footnote>
  <w:footnote w:id="5">
    <w:p w14:paraId="51D3B352" w14:textId="3D2674F4" w:rsidR="0087476E" w:rsidRPr="0004155E" w:rsidRDefault="0087476E">
      <w:pPr>
        <w:pStyle w:val="ad"/>
        <w:rPr>
          <w:sz w:val="16"/>
          <w:szCs w:val="16"/>
          <w:lang w:val="el-GR"/>
        </w:rPr>
      </w:pPr>
      <w:r w:rsidRPr="00AC4956">
        <w:rPr>
          <w:rStyle w:val="ae"/>
        </w:rPr>
        <w:footnoteRef/>
      </w:r>
      <w:r w:rsidRPr="0004155E">
        <w:rPr>
          <w:rStyle w:val="ae"/>
          <w:lang w:val="el-GR"/>
        </w:rPr>
        <w:t xml:space="preserve"> </w:t>
      </w:r>
      <w:r w:rsidR="00AC4956" w:rsidRPr="0004155E">
        <w:rPr>
          <w:sz w:val="16"/>
          <w:szCs w:val="16"/>
          <w:lang w:val="el-GR"/>
        </w:rPr>
        <w:t>Με βάση τις εκτιμήσεις της ΔΕΗ</w:t>
      </w:r>
    </w:p>
  </w:footnote>
  <w:footnote w:id="6">
    <w:p w14:paraId="7B3071BC" w14:textId="19C3F26F" w:rsidR="00467C62" w:rsidRPr="00B50C9B" w:rsidRDefault="00467C62">
      <w:pPr>
        <w:pStyle w:val="ad"/>
        <w:rPr>
          <w:sz w:val="16"/>
          <w:szCs w:val="16"/>
          <w:lang w:val="el-GR"/>
        </w:rPr>
      </w:pPr>
      <w:r w:rsidRPr="0004155E">
        <w:rPr>
          <w:rStyle w:val="ae"/>
        </w:rPr>
        <w:footnoteRef/>
      </w:r>
      <w:r w:rsidRPr="0004155E">
        <w:rPr>
          <w:rStyle w:val="ae"/>
          <w:lang w:val="el-GR"/>
        </w:rPr>
        <w:t xml:space="preserve"> </w:t>
      </w:r>
      <w:r w:rsidRPr="00B50C9B">
        <w:rPr>
          <w:sz w:val="16"/>
          <w:szCs w:val="16"/>
          <w:lang w:val="el-GR"/>
        </w:rPr>
        <w:t xml:space="preserve">Με βάση τα στοιχεία της </w:t>
      </w:r>
      <w:r w:rsidRPr="0004155E">
        <w:rPr>
          <w:sz w:val="16"/>
          <w:szCs w:val="16"/>
          <w:lang w:val="el-GR"/>
        </w:rPr>
        <w:t>Transelectrica</w:t>
      </w:r>
      <w:r w:rsidRPr="00B50C9B">
        <w:rPr>
          <w:sz w:val="16"/>
          <w:szCs w:val="16"/>
          <w:lang w:val="el-GR"/>
        </w:rPr>
        <w:t xml:space="preserve">  </w:t>
      </w:r>
    </w:p>
  </w:footnote>
  <w:footnote w:id="7">
    <w:p w14:paraId="117D0A6B" w14:textId="77777777" w:rsidR="00145FF1" w:rsidRPr="00B50C9B" w:rsidRDefault="00145FF1" w:rsidP="00145FF1">
      <w:pPr>
        <w:pStyle w:val="ad"/>
        <w:rPr>
          <w:sz w:val="16"/>
          <w:szCs w:val="16"/>
          <w:lang w:val="el-GR"/>
        </w:rPr>
      </w:pPr>
      <w:r w:rsidRPr="00B50C9B">
        <w:rPr>
          <w:rStyle w:val="ae"/>
          <w:sz w:val="16"/>
          <w:szCs w:val="16"/>
        </w:rPr>
        <w:footnoteRef/>
      </w:r>
      <w:r w:rsidRPr="00B50C9B">
        <w:rPr>
          <w:sz w:val="16"/>
          <w:szCs w:val="16"/>
          <w:lang w:val="el-GR"/>
        </w:rPr>
        <w:t xml:space="preserve"> </w:t>
      </w:r>
      <w:r w:rsidRPr="00B50C9B">
        <w:rPr>
          <w:sz w:val="16"/>
          <w:szCs w:val="16"/>
        </w:rPr>
        <w:t>M</w:t>
      </w:r>
      <w:r w:rsidRPr="00B50C9B">
        <w:rPr>
          <w:sz w:val="16"/>
          <w:szCs w:val="16"/>
          <w:lang w:val="el-GR"/>
        </w:rPr>
        <w:t>ε βάση τα στοιχεία του Ομίλου Χρηματιστηρίου Ενέργειας (</w:t>
      </w:r>
      <w:r w:rsidRPr="00B50C9B">
        <w:rPr>
          <w:sz w:val="16"/>
          <w:szCs w:val="16"/>
        </w:rPr>
        <w:t>EnEx</w:t>
      </w:r>
      <w:r w:rsidRPr="00B50C9B">
        <w:rPr>
          <w:sz w:val="16"/>
          <w:szCs w:val="16"/>
          <w:lang w:val="el-GR"/>
        </w:rPr>
        <w:t>)</w:t>
      </w:r>
    </w:p>
  </w:footnote>
  <w:footnote w:id="8">
    <w:p w14:paraId="59528CAC" w14:textId="77777777" w:rsidR="00714B60" w:rsidRPr="00CB298A" w:rsidRDefault="00714B60" w:rsidP="00714B60">
      <w:pPr>
        <w:pStyle w:val="ad"/>
        <w:rPr>
          <w:lang w:val="el-GR"/>
        </w:rPr>
      </w:pPr>
      <w:r w:rsidRPr="00B50C9B">
        <w:rPr>
          <w:rStyle w:val="ae"/>
          <w:sz w:val="16"/>
          <w:szCs w:val="16"/>
        </w:rPr>
        <w:footnoteRef/>
      </w:r>
      <w:r w:rsidRPr="00B50C9B">
        <w:rPr>
          <w:sz w:val="16"/>
          <w:szCs w:val="16"/>
          <w:lang w:val="el-GR"/>
        </w:rPr>
        <w:t xml:space="preserve"> Με βάση τα στοιχεία της </w:t>
      </w:r>
      <w:r w:rsidRPr="00B50C9B">
        <w:rPr>
          <w:sz w:val="16"/>
          <w:szCs w:val="16"/>
        </w:rPr>
        <w:t>Transelectrica</w:t>
      </w:r>
      <w:r w:rsidRPr="00B50C9B">
        <w:rPr>
          <w:sz w:val="16"/>
          <w:szCs w:val="16"/>
          <w:lang w:val="el-GR"/>
        </w:rPr>
        <w:t xml:space="preserve">  </w:t>
      </w:r>
    </w:p>
  </w:footnote>
  <w:footnote w:id="9">
    <w:p w14:paraId="5A784FCE" w14:textId="77777777" w:rsidR="009A4351" w:rsidRPr="0004155E" w:rsidRDefault="00DD0475">
      <w:pPr>
        <w:pStyle w:val="ad"/>
        <w:rPr>
          <w:sz w:val="16"/>
          <w:szCs w:val="16"/>
          <w:lang w:val="el-GR"/>
        </w:rPr>
      </w:pPr>
      <w:r w:rsidRPr="00B50C9B">
        <w:rPr>
          <w:rStyle w:val="ae"/>
          <w:sz w:val="16"/>
          <w:szCs w:val="16"/>
        </w:rPr>
        <w:footnoteRef/>
      </w:r>
      <w:r w:rsidRPr="00B50C9B">
        <w:rPr>
          <w:sz w:val="16"/>
          <w:szCs w:val="16"/>
          <w:lang w:val="el-GR"/>
        </w:rPr>
        <w:t xml:space="preserve"> </w:t>
      </w:r>
      <w:r w:rsidR="009A4351" w:rsidRPr="009A4351">
        <w:rPr>
          <w:sz w:val="16"/>
          <w:szCs w:val="16"/>
          <w:lang w:val="el-GR"/>
        </w:rPr>
        <w:t xml:space="preserve">Αναθεωρημένα μεγέθη σε σχέση με τα δημοσιευμένα της 31.12.2023 (Ανάλυση των μεγεθών παρέχεται στην </w:t>
      </w:r>
    </w:p>
    <w:p w14:paraId="4D198986" w14:textId="12F0BE03" w:rsidR="00DD0475" w:rsidRPr="00B50C9B" w:rsidRDefault="009A4351">
      <w:pPr>
        <w:pStyle w:val="ad"/>
        <w:rPr>
          <w:sz w:val="16"/>
          <w:szCs w:val="16"/>
          <w:lang w:val="el-GR"/>
        </w:rPr>
      </w:pPr>
      <w:r w:rsidRPr="0004155E">
        <w:rPr>
          <w:sz w:val="16"/>
          <w:szCs w:val="16"/>
          <w:lang w:val="el-GR"/>
        </w:rPr>
        <w:t xml:space="preserve">  </w:t>
      </w:r>
      <w:r w:rsidRPr="009A4351">
        <w:rPr>
          <w:sz w:val="16"/>
          <w:szCs w:val="16"/>
          <w:lang w:val="el-GR"/>
        </w:rPr>
        <w:t>Σημείωση 7 των Οικονομικών Καταστάσεων Α’ Εξαμήνου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A6EF" w14:textId="5C03BB37" w:rsidR="0054172F" w:rsidRDefault="00000000">
    <w:pPr>
      <w:pStyle w:val="a3"/>
    </w:pPr>
    <w:r>
      <w:rPr>
        <w:noProof/>
      </w:rPr>
      <w:pict w14:anchorId="16320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6270" o:spid="_x0000_s1025" type="#_x0000_t75" alt="/Volumes/BriefMe_06/005-DDB/2020/113-DEH/035-PressRealesa/Telikes_Maketes/Press-Release 21x29,7cm-01-72ppi.jpg" style="position:absolute;margin-left:0;margin-top:0;width:297.5pt;height:421pt;z-index:-251656704;mso-wrap-edited:f;mso-position-horizontal:center;mso-position-horizontal-relative:margin;mso-position-vertical:center;mso-position-vertical-relative:margin" o:allowincell="f">
          <v:imagedata r:id="rId1" o:title="Press-Release 21x29,7cm-01-72pp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9A6BE" w14:textId="0E1FA29D" w:rsidR="0014283C" w:rsidRDefault="00195E8B" w:rsidP="0014283C">
    <w:pPr>
      <w:pStyle w:val="a3"/>
      <w:tabs>
        <w:tab w:val="left" w:pos="2268"/>
      </w:tabs>
    </w:pPr>
    <w:r>
      <w:rPr>
        <w:noProof/>
      </w:rPr>
      <w:drawing>
        <wp:anchor distT="0" distB="0" distL="114300" distR="114300" simplePos="0" relativeHeight="251658752" behindDoc="1" locked="0" layoutInCell="1" allowOverlap="1" wp14:anchorId="3AD7AD11" wp14:editId="51ABEE0B">
          <wp:simplePos x="0" y="0"/>
          <wp:positionH relativeFrom="page">
            <wp:align>left</wp:align>
          </wp:positionH>
          <wp:positionV relativeFrom="page">
            <wp:align>top</wp:align>
          </wp:positionV>
          <wp:extent cx="7543758" cy="856615"/>
          <wp:effectExtent l="0" t="0" r="635" b="635"/>
          <wp:wrapNone/>
          <wp:docPr id="610773110" name="Picture 61077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78000" name="Picture 326378000"/>
                  <pic:cNvPicPr/>
                </pic:nvPicPr>
                <pic:blipFill>
                  <a:blip r:embed="rId1">
                    <a:extLst>
                      <a:ext uri="{28A0092B-C50C-407E-A947-70E740481C1C}">
                        <a14:useLocalDpi xmlns:a14="http://schemas.microsoft.com/office/drawing/2010/main" val="0"/>
                      </a:ext>
                    </a:extLst>
                  </a:blip>
                  <a:stretch>
                    <a:fillRect/>
                  </a:stretch>
                </pic:blipFill>
                <pic:spPr>
                  <a:xfrm flipH="1">
                    <a:off x="0" y="0"/>
                    <a:ext cx="7543758" cy="856615"/>
                  </a:xfrm>
                  <a:prstGeom prst="rect">
                    <a:avLst/>
                  </a:prstGeom>
                </pic:spPr>
              </pic:pic>
            </a:graphicData>
          </a:graphic>
          <wp14:sizeRelH relativeFrom="margin">
            <wp14:pctWidth>0</wp14:pctWidth>
          </wp14:sizeRelH>
          <wp14:sizeRelV relativeFrom="margin">
            <wp14:pctHeight>0</wp14:pctHeight>
          </wp14:sizeRelV>
        </wp:anchor>
      </w:drawing>
    </w:r>
  </w:p>
  <w:p w14:paraId="6210AD1C" w14:textId="3E8B874D" w:rsidR="0054172F" w:rsidRDefault="0054172F" w:rsidP="0050420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9BD0F" w14:textId="69305B05" w:rsidR="0054172F" w:rsidRDefault="007D4ABD">
    <w:pPr>
      <w:pStyle w:val="a3"/>
    </w:pPr>
    <w:r>
      <w:rPr>
        <w:noProof/>
      </w:rPr>
      <w:drawing>
        <wp:anchor distT="0" distB="0" distL="114300" distR="114300" simplePos="0" relativeHeight="251656704" behindDoc="1" locked="0" layoutInCell="1" allowOverlap="1" wp14:anchorId="2C61E0E4" wp14:editId="24A600C2">
          <wp:simplePos x="0" y="0"/>
          <wp:positionH relativeFrom="page">
            <wp:posOffset>0</wp:posOffset>
          </wp:positionH>
          <wp:positionV relativeFrom="page">
            <wp:posOffset>15641</wp:posOffset>
          </wp:positionV>
          <wp:extent cx="7560000" cy="1714717"/>
          <wp:effectExtent l="0" t="0" r="3175" b="0"/>
          <wp:wrapNone/>
          <wp:docPr id="1400350761" name="Picture 14003507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7043429" name="Picture 827043429"/>
                  <pic:cNvPicPr/>
                </pic:nvPicPr>
                <pic:blipFill>
                  <a:blip r:embed="rId1">
                    <a:extLst>
                      <a:ext uri="{28A0092B-C50C-407E-A947-70E740481C1C}">
                        <a14:useLocalDpi xmlns:a14="http://schemas.microsoft.com/office/drawing/2010/main" val="0"/>
                      </a:ext>
                    </a:extLst>
                  </a:blip>
                  <a:stretch>
                    <a:fillRect/>
                  </a:stretch>
                </pic:blipFill>
                <pic:spPr>
                  <a:xfrm>
                    <a:off x="0" y="0"/>
                    <a:ext cx="7560000" cy="17147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DBC"/>
    <w:multiLevelType w:val="hybridMultilevel"/>
    <w:tmpl w:val="9E581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1956DB0"/>
    <w:multiLevelType w:val="hybridMultilevel"/>
    <w:tmpl w:val="84FC3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BA687D"/>
    <w:multiLevelType w:val="hybridMultilevel"/>
    <w:tmpl w:val="2BBC35E6"/>
    <w:lvl w:ilvl="0" w:tplc="4C142C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76EF7"/>
    <w:multiLevelType w:val="hybridMultilevel"/>
    <w:tmpl w:val="55F2B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42735"/>
    <w:multiLevelType w:val="hybridMultilevel"/>
    <w:tmpl w:val="1C32F6D4"/>
    <w:lvl w:ilvl="0" w:tplc="DB781F1E">
      <w:numFmt w:val="bullet"/>
      <w:lvlText w:val="-"/>
      <w:lvlJc w:val="left"/>
      <w:pPr>
        <w:ind w:left="720" w:hanging="360"/>
      </w:pPr>
      <w:rPr>
        <w:rFonts w:ascii="Ping LCG Regular" w:eastAsiaTheme="minorHAnsi" w:hAnsi="Ping LCG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C727F"/>
    <w:multiLevelType w:val="hybridMultilevel"/>
    <w:tmpl w:val="A5C2B7DE"/>
    <w:lvl w:ilvl="0" w:tplc="9EDCC9D4">
      <w:start w:val="1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EF1D79"/>
    <w:multiLevelType w:val="hybridMultilevel"/>
    <w:tmpl w:val="A2DEC630"/>
    <w:lvl w:ilvl="0" w:tplc="4F0A8AD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3CF38C4"/>
    <w:multiLevelType w:val="hybridMultilevel"/>
    <w:tmpl w:val="0A408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F9610B"/>
    <w:multiLevelType w:val="hybridMultilevel"/>
    <w:tmpl w:val="A0DCAA9C"/>
    <w:lvl w:ilvl="0" w:tplc="5AF862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F0A46"/>
    <w:multiLevelType w:val="hybridMultilevel"/>
    <w:tmpl w:val="5718C70C"/>
    <w:lvl w:ilvl="0" w:tplc="9B92B656">
      <w:start w:val="1"/>
      <w:numFmt w:val="bullet"/>
      <w:lvlText w:val="n"/>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B322877"/>
    <w:multiLevelType w:val="hybridMultilevel"/>
    <w:tmpl w:val="5F246BE4"/>
    <w:lvl w:ilvl="0" w:tplc="040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DE707D9"/>
    <w:multiLevelType w:val="hybridMultilevel"/>
    <w:tmpl w:val="84DA23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2B4092"/>
    <w:multiLevelType w:val="hybridMultilevel"/>
    <w:tmpl w:val="C3369D3A"/>
    <w:lvl w:ilvl="0" w:tplc="040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28B7D05"/>
    <w:multiLevelType w:val="hybridMultilevel"/>
    <w:tmpl w:val="C382F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776108"/>
    <w:multiLevelType w:val="hybridMultilevel"/>
    <w:tmpl w:val="678037EA"/>
    <w:lvl w:ilvl="0" w:tplc="9B92B656">
      <w:start w:val="1"/>
      <w:numFmt w:val="bullet"/>
      <w:lvlText w:val="n"/>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9362766">
    <w:abstractNumId w:val="11"/>
  </w:num>
  <w:num w:numId="2" w16cid:durableId="214855990">
    <w:abstractNumId w:val="9"/>
  </w:num>
  <w:num w:numId="3" w16cid:durableId="1709138249">
    <w:abstractNumId w:val="14"/>
  </w:num>
  <w:num w:numId="4" w16cid:durableId="1158692182">
    <w:abstractNumId w:val="10"/>
  </w:num>
  <w:num w:numId="5" w16cid:durableId="613245999">
    <w:abstractNumId w:val="12"/>
  </w:num>
  <w:num w:numId="6" w16cid:durableId="975330375">
    <w:abstractNumId w:val="0"/>
  </w:num>
  <w:num w:numId="7" w16cid:durableId="760830426">
    <w:abstractNumId w:val="1"/>
  </w:num>
  <w:num w:numId="8" w16cid:durableId="994384057">
    <w:abstractNumId w:val="10"/>
  </w:num>
  <w:num w:numId="9" w16cid:durableId="962809895">
    <w:abstractNumId w:val="4"/>
  </w:num>
  <w:num w:numId="10" w16cid:durableId="122311427">
    <w:abstractNumId w:val="13"/>
  </w:num>
  <w:num w:numId="11" w16cid:durableId="783766680">
    <w:abstractNumId w:val="3"/>
  </w:num>
  <w:num w:numId="12" w16cid:durableId="1654066944">
    <w:abstractNumId w:val="7"/>
  </w:num>
  <w:num w:numId="13" w16cid:durableId="1572740868">
    <w:abstractNumId w:val="2"/>
  </w:num>
  <w:num w:numId="14" w16cid:durableId="1196311874">
    <w:abstractNumId w:val="5"/>
  </w:num>
  <w:num w:numId="15" w16cid:durableId="1021277477">
    <w:abstractNumId w:val="8"/>
  </w:num>
  <w:num w:numId="16" w16cid:durableId="654920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2F"/>
    <w:rsid w:val="00000B90"/>
    <w:rsid w:val="0000389A"/>
    <w:rsid w:val="00005178"/>
    <w:rsid w:val="00005624"/>
    <w:rsid w:val="00005E9F"/>
    <w:rsid w:val="00006F1F"/>
    <w:rsid w:val="00007045"/>
    <w:rsid w:val="000070C0"/>
    <w:rsid w:val="0000717C"/>
    <w:rsid w:val="000078B3"/>
    <w:rsid w:val="000101DB"/>
    <w:rsid w:val="00011FD0"/>
    <w:rsid w:val="00014624"/>
    <w:rsid w:val="000165C2"/>
    <w:rsid w:val="00020966"/>
    <w:rsid w:val="0002120E"/>
    <w:rsid w:val="00022D76"/>
    <w:rsid w:val="000243CD"/>
    <w:rsid w:val="000247EA"/>
    <w:rsid w:val="000258D9"/>
    <w:rsid w:val="00027292"/>
    <w:rsid w:val="000278E0"/>
    <w:rsid w:val="0002791D"/>
    <w:rsid w:val="0003011A"/>
    <w:rsid w:val="00030616"/>
    <w:rsid w:val="00030A10"/>
    <w:rsid w:val="00030C1E"/>
    <w:rsid w:val="000318E5"/>
    <w:rsid w:val="000342E8"/>
    <w:rsid w:val="00034F16"/>
    <w:rsid w:val="00035927"/>
    <w:rsid w:val="000361E0"/>
    <w:rsid w:val="00036594"/>
    <w:rsid w:val="0003750C"/>
    <w:rsid w:val="0003794A"/>
    <w:rsid w:val="00037A1F"/>
    <w:rsid w:val="00037AAB"/>
    <w:rsid w:val="00040330"/>
    <w:rsid w:val="00040547"/>
    <w:rsid w:val="000409CC"/>
    <w:rsid w:val="00040BAE"/>
    <w:rsid w:val="00040F50"/>
    <w:rsid w:val="00040FC6"/>
    <w:rsid w:val="000410BA"/>
    <w:rsid w:val="0004150D"/>
    <w:rsid w:val="0004155E"/>
    <w:rsid w:val="00041F1F"/>
    <w:rsid w:val="000420FB"/>
    <w:rsid w:val="000441CA"/>
    <w:rsid w:val="00045E47"/>
    <w:rsid w:val="000466CD"/>
    <w:rsid w:val="00046EE0"/>
    <w:rsid w:val="00051089"/>
    <w:rsid w:val="00051F5D"/>
    <w:rsid w:val="00053B59"/>
    <w:rsid w:val="00054068"/>
    <w:rsid w:val="0005464C"/>
    <w:rsid w:val="00055634"/>
    <w:rsid w:val="000556A6"/>
    <w:rsid w:val="00057EDA"/>
    <w:rsid w:val="000617E6"/>
    <w:rsid w:val="00062316"/>
    <w:rsid w:val="00063407"/>
    <w:rsid w:val="000637A1"/>
    <w:rsid w:val="00063B17"/>
    <w:rsid w:val="0006466A"/>
    <w:rsid w:val="000653CD"/>
    <w:rsid w:val="000659E5"/>
    <w:rsid w:val="00072349"/>
    <w:rsid w:val="00072974"/>
    <w:rsid w:val="00072BE3"/>
    <w:rsid w:val="00073206"/>
    <w:rsid w:val="0007354E"/>
    <w:rsid w:val="00073F0A"/>
    <w:rsid w:val="0007492C"/>
    <w:rsid w:val="00074D34"/>
    <w:rsid w:val="000766EE"/>
    <w:rsid w:val="0007681F"/>
    <w:rsid w:val="0007684C"/>
    <w:rsid w:val="00076DA3"/>
    <w:rsid w:val="00080FC7"/>
    <w:rsid w:val="00080FC8"/>
    <w:rsid w:val="00080FDE"/>
    <w:rsid w:val="0008133F"/>
    <w:rsid w:val="00084368"/>
    <w:rsid w:val="0008681E"/>
    <w:rsid w:val="000873B5"/>
    <w:rsid w:val="00090A25"/>
    <w:rsid w:val="00090EBD"/>
    <w:rsid w:val="00091714"/>
    <w:rsid w:val="00092366"/>
    <w:rsid w:val="00092432"/>
    <w:rsid w:val="00092D74"/>
    <w:rsid w:val="00093DB5"/>
    <w:rsid w:val="0009495F"/>
    <w:rsid w:val="000956DB"/>
    <w:rsid w:val="00095C53"/>
    <w:rsid w:val="00096107"/>
    <w:rsid w:val="000A094C"/>
    <w:rsid w:val="000A2EEE"/>
    <w:rsid w:val="000A3229"/>
    <w:rsid w:val="000A3B4B"/>
    <w:rsid w:val="000A3F52"/>
    <w:rsid w:val="000A60A4"/>
    <w:rsid w:val="000A6531"/>
    <w:rsid w:val="000A6C47"/>
    <w:rsid w:val="000A72F6"/>
    <w:rsid w:val="000A7890"/>
    <w:rsid w:val="000B0353"/>
    <w:rsid w:val="000B1022"/>
    <w:rsid w:val="000B2640"/>
    <w:rsid w:val="000B2EE4"/>
    <w:rsid w:val="000B3A22"/>
    <w:rsid w:val="000B4186"/>
    <w:rsid w:val="000B493C"/>
    <w:rsid w:val="000B4CED"/>
    <w:rsid w:val="000B51C4"/>
    <w:rsid w:val="000B54A7"/>
    <w:rsid w:val="000B5524"/>
    <w:rsid w:val="000B699B"/>
    <w:rsid w:val="000B7B06"/>
    <w:rsid w:val="000C04F0"/>
    <w:rsid w:val="000C1614"/>
    <w:rsid w:val="000C1FE1"/>
    <w:rsid w:val="000C37D8"/>
    <w:rsid w:val="000C438C"/>
    <w:rsid w:val="000C5579"/>
    <w:rsid w:val="000C60EB"/>
    <w:rsid w:val="000C64FD"/>
    <w:rsid w:val="000C7A5D"/>
    <w:rsid w:val="000D01A3"/>
    <w:rsid w:val="000D0865"/>
    <w:rsid w:val="000D0E83"/>
    <w:rsid w:val="000D11C1"/>
    <w:rsid w:val="000D1FE0"/>
    <w:rsid w:val="000D28C8"/>
    <w:rsid w:val="000D35B3"/>
    <w:rsid w:val="000D3D64"/>
    <w:rsid w:val="000D3DFA"/>
    <w:rsid w:val="000D4319"/>
    <w:rsid w:val="000D527B"/>
    <w:rsid w:val="000D607C"/>
    <w:rsid w:val="000D6F54"/>
    <w:rsid w:val="000D7232"/>
    <w:rsid w:val="000D7375"/>
    <w:rsid w:val="000D73E1"/>
    <w:rsid w:val="000D7BB4"/>
    <w:rsid w:val="000E0AFF"/>
    <w:rsid w:val="000E1492"/>
    <w:rsid w:val="000E2219"/>
    <w:rsid w:val="000E29A5"/>
    <w:rsid w:val="000E342C"/>
    <w:rsid w:val="000E373D"/>
    <w:rsid w:val="000E3EDA"/>
    <w:rsid w:val="000E4DC2"/>
    <w:rsid w:val="000E4F47"/>
    <w:rsid w:val="000E5716"/>
    <w:rsid w:val="000E7238"/>
    <w:rsid w:val="000E7FCF"/>
    <w:rsid w:val="000F04CF"/>
    <w:rsid w:val="000F0FBB"/>
    <w:rsid w:val="000F2DD5"/>
    <w:rsid w:val="000F3233"/>
    <w:rsid w:val="000F4506"/>
    <w:rsid w:val="000F74BC"/>
    <w:rsid w:val="000F7B34"/>
    <w:rsid w:val="000F7F76"/>
    <w:rsid w:val="001001C5"/>
    <w:rsid w:val="00100561"/>
    <w:rsid w:val="001011B4"/>
    <w:rsid w:val="00102681"/>
    <w:rsid w:val="00103CB6"/>
    <w:rsid w:val="001066E9"/>
    <w:rsid w:val="001071D1"/>
    <w:rsid w:val="001072A1"/>
    <w:rsid w:val="00107392"/>
    <w:rsid w:val="001102B3"/>
    <w:rsid w:val="0011049E"/>
    <w:rsid w:val="00111036"/>
    <w:rsid w:val="00111824"/>
    <w:rsid w:val="00111E3A"/>
    <w:rsid w:val="001138EB"/>
    <w:rsid w:val="00114696"/>
    <w:rsid w:val="00114898"/>
    <w:rsid w:val="001170DE"/>
    <w:rsid w:val="001173D5"/>
    <w:rsid w:val="00117672"/>
    <w:rsid w:val="00117AD7"/>
    <w:rsid w:val="00117FD9"/>
    <w:rsid w:val="00121D13"/>
    <w:rsid w:val="00121D18"/>
    <w:rsid w:val="00121F51"/>
    <w:rsid w:val="00122AFD"/>
    <w:rsid w:val="00122E3B"/>
    <w:rsid w:val="001230C9"/>
    <w:rsid w:val="001232ED"/>
    <w:rsid w:val="001234DA"/>
    <w:rsid w:val="001236B9"/>
    <w:rsid w:val="00124400"/>
    <w:rsid w:val="00125B68"/>
    <w:rsid w:val="0012634E"/>
    <w:rsid w:val="00126B94"/>
    <w:rsid w:val="00126FC3"/>
    <w:rsid w:val="001318A5"/>
    <w:rsid w:val="00131DF7"/>
    <w:rsid w:val="0013255B"/>
    <w:rsid w:val="00132638"/>
    <w:rsid w:val="001328AC"/>
    <w:rsid w:val="00132FFB"/>
    <w:rsid w:val="00133441"/>
    <w:rsid w:val="00134057"/>
    <w:rsid w:val="00134259"/>
    <w:rsid w:val="00134781"/>
    <w:rsid w:val="00135A4D"/>
    <w:rsid w:val="0014283C"/>
    <w:rsid w:val="00143285"/>
    <w:rsid w:val="00144A1E"/>
    <w:rsid w:val="00144C7A"/>
    <w:rsid w:val="00144DA0"/>
    <w:rsid w:val="00145F4B"/>
    <w:rsid w:val="00145FF1"/>
    <w:rsid w:val="00146990"/>
    <w:rsid w:val="00147140"/>
    <w:rsid w:val="001504E0"/>
    <w:rsid w:val="001505F5"/>
    <w:rsid w:val="00151314"/>
    <w:rsid w:val="001516F4"/>
    <w:rsid w:val="001523D4"/>
    <w:rsid w:val="00152B77"/>
    <w:rsid w:val="0015328A"/>
    <w:rsid w:val="001532DF"/>
    <w:rsid w:val="00153A91"/>
    <w:rsid w:val="00156525"/>
    <w:rsid w:val="00156828"/>
    <w:rsid w:val="00157AAF"/>
    <w:rsid w:val="00160FB6"/>
    <w:rsid w:val="00161969"/>
    <w:rsid w:val="00162E3D"/>
    <w:rsid w:val="00163043"/>
    <w:rsid w:val="00163CDA"/>
    <w:rsid w:val="00165F00"/>
    <w:rsid w:val="0016613B"/>
    <w:rsid w:val="0016638B"/>
    <w:rsid w:val="00170B56"/>
    <w:rsid w:val="00171B20"/>
    <w:rsid w:val="00173576"/>
    <w:rsid w:val="0017396F"/>
    <w:rsid w:val="00173DCE"/>
    <w:rsid w:val="00174504"/>
    <w:rsid w:val="00174C59"/>
    <w:rsid w:val="00175613"/>
    <w:rsid w:val="00176DA0"/>
    <w:rsid w:val="00180910"/>
    <w:rsid w:val="001816CC"/>
    <w:rsid w:val="001830EF"/>
    <w:rsid w:val="00183957"/>
    <w:rsid w:val="0018622C"/>
    <w:rsid w:val="00186315"/>
    <w:rsid w:val="00186E71"/>
    <w:rsid w:val="001874AA"/>
    <w:rsid w:val="00187D5E"/>
    <w:rsid w:val="00190D6D"/>
    <w:rsid w:val="00192181"/>
    <w:rsid w:val="00192557"/>
    <w:rsid w:val="001931C7"/>
    <w:rsid w:val="0019373F"/>
    <w:rsid w:val="00194B84"/>
    <w:rsid w:val="00195264"/>
    <w:rsid w:val="00195E8B"/>
    <w:rsid w:val="00197544"/>
    <w:rsid w:val="001A1492"/>
    <w:rsid w:val="001A2A4C"/>
    <w:rsid w:val="001A3B5F"/>
    <w:rsid w:val="001A3BC4"/>
    <w:rsid w:val="001A4A19"/>
    <w:rsid w:val="001A6DF2"/>
    <w:rsid w:val="001A7865"/>
    <w:rsid w:val="001B100F"/>
    <w:rsid w:val="001B2711"/>
    <w:rsid w:val="001B3EF1"/>
    <w:rsid w:val="001B40B2"/>
    <w:rsid w:val="001B41E2"/>
    <w:rsid w:val="001B446E"/>
    <w:rsid w:val="001B472B"/>
    <w:rsid w:val="001B497A"/>
    <w:rsid w:val="001B5A37"/>
    <w:rsid w:val="001B69BA"/>
    <w:rsid w:val="001B7B83"/>
    <w:rsid w:val="001C14E1"/>
    <w:rsid w:val="001C15E7"/>
    <w:rsid w:val="001C2830"/>
    <w:rsid w:val="001C3368"/>
    <w:rsid w:val="001C3371"/>
    <w:rsid w:val="001C3E57"/>
    <w:rsid w:val="001C41B2"/>
    <w:rsid w:val="001C4373"/>
    <w:rsid w:val="001C4805"/>
    <w:rsid w:val="001C4C01"/>
    <w:rsid w:val="001C5425"/>
    <w:rsid w:val="001C562F"/>
    <w:rsid w:val="001D0FB7"/>
    <w:rsid w:val="001D17B1"/>
    <w:rsid w:val="001D1CCC"/>
    <w:rsid w:val="001D2A8F"/>
    <w:rsid w:val="001D2EE1"/>
    <w:rsid w:val="001D3164"/>
    <w:rsid w:val="001D3750"/>
    <w:rsid w:val="001D3C35"/>
    <w:rsid w:val="001D63D8"/>
    <w:rsid w:val="001D65ED"/>
    <w:rsid w:val="001D68A4"/>
    <w:rsid w:val="001D69D3"/>
    <w:rsid w:val="001D78C6"/>
    <w:rsid w:val="001D7992"/>
    <w:rsid w:val="001E0533"/>
    <w:rsid w:val="001E4243"/>
    <w:rsid w:val="001E49ED"/>
    <w:rsid w:val="001E5697"/>
    <w:rsid w:val="001E7DE5"/>
    <w:rsid w:val="001F2716"/>
    <w:rsid w:val="001F27B0"/>
    <w:rsid w:val="001F3772"/>
    <w:rsid w:val="001F47DF"/>
    <w:rsid w:val="001F52AD"/>
    <w:rsid w:val="001F55FF"/>
    <w:rsid w:val="001F6905"/>
    <w:rsid w:val="001F6F3C"/>
    <w:rsid w:val="00200C60"/>
    <w:rsid w:val="00205CC6"/>
    <w:rsid w:val="00205F13"/>
    <w:rsid w:val="0020689E"/>
    <w:rsid w:val="00206AF8"/>
    <w:rsid w:val="002070A4"/>
    <w:rsid w:val="00207CC9"/>
    <w:rsid w:val="00207E47"/>
    <w:rsid w:val="00211DC3"/>
    <w:rsid w:val="002123EE"/>
    <w:rsid w:val="002128B3"/>
    <w:rsid w:val="0021295A"/>
    <w:rsid w:val="00212CE6"/>
    <w:rsid w:val="00213F28"/>
    <w:rsid w:val="002161F0"/>
    <w:rsid w:val="00216201"/>
    <w:rsid w:val="00217226"/>
    <w:rsid w:val="002203CF"/>
    <w:rsid w:val="002204FE"/>
    <w:rsid w:val="0022072C"/>
    <w:rsid w:val="00220A48"/>
    <w:rsid w:val="0022200A"/>
    <w:rsid w:val="00222638"/>
    <w:rsid w:val="00222F5B"/>
    <w:rsid w:val="0022351D"/>
    <w:rsid w:val="00224F9B"/>
    <w:rsid w:val="00226482"/>
    <w:rsid w:val="00226707"/>
    <w:rsid w:val="0023099A"/>
    <w:rsid w:val="00230CEB"/>
    <w:rsid w:val="00231480"/>
    <w:rsid w:val="00231ACF"/>
    <w:rsid w:val="00232DF1"/>
    <w:rsid w:val="002337A0"/>
    <w:rsid w:val="002347C8"/>
    <w:rsid w:val="002360AE"/>
    <w:rsid w:val="00236416"/>
    <w:rsid w:val="00237040"/>
    <w:rsid w:val="0023727B"/>
    <w:rsid w:val="002379A7"/>
    <w:rsid w:val="002401A4"/>
    <w:rsid w:val="00240929"/>
    <w:rsid w:val="002419CD"/>
    <w:rsid w:val="00241BB1"/>
    <w:rsid w:val="00243A73"/>
    <w:rsid w:val="00243FEA"/>
    <w:rsid w:val="0024458B"/>
    <w:rsid w:val="0024686A"/>
    <w:rsid w:val="0024698B"/>
    <w:rsid w:val="00247198"/>
    <w:rsid w:val="002504A0"/>
    <w:rsid w:val="0025066A"/>
    <w:rsid w:val="002524D7"/>
    <w:rsid w:val="002525D6"/>
    <w:rsid w:val="0025278D"/>
    <w:rsid w:val="00253769"/>
    <w:rsid w:val="002537F9"/>
    <w:rsid w:val="00253B09"/>
    <w:rsid w:val="002540CD"/>
    <w:rsid w:val="0025482C"/>
    <w:rsid w:val="00255554"/>
    <w:rsid w:val="002559EC"/>
    <w:rsid w:val="002578D4"/>
    <w:rsid w:val="002610EB"/>
    <w:rsid w:val="00261B9E"/>
    <w:rsid w:val="00262DAE"/>
    <w:rsid w:val="00262F85"/>
    <w:rsid w:val="00263A34"/>
    <w:rsid w:val="00263FB4"/>
    <w:rsid w:val="002645A6"/>
    <w:rsid w:val="00264798"/>
    <w:rsid w:val="00265062"/>
    <w:rsid w:val="00266A9F"/>
    <w:rsid w:val="00271726"/>
    <w:rsid w:val="00271ACB"/>
    <w:rsid w:val="00272E40"/>
    <w:rsid w:val="0027320E"/>
    <w:rsid w:val="00273E62"/>
    <w:rsid w:val="0027444B"/>
    <w:rsid w:val="00274A68"/>
    <w:rsid w:val="00275FBB"/>
    <w:rsid w:val="00276366"/>
    <w:rsid w:val="00277187"/>
    <w:rsid w:val="002801D4"/>
    <w:rsid w:val="002801FF"/>
    <w:rsid w:val="00281282"/>
    <w:rsid w:val="00281D1F"/>
    <w:rsid w:val="0028254A"/>
    <w:rsid w:val="002828EB"/>
    <w:rsid w:val="00282983"/>
    <w:rsid w:val="00282AA1"/>
    <w:rsid w:val="00282D49"/>
    <w:rsid w:val="00284CA7"/>
    <w:rsid w:val="002851CF"/>
    <w:rsid w:val="0028549C"/>
    <w:rsid w:val="002856DE"/>
    <w:rsid w:val="00285C8E"/>
    <w:rsid w:val="00285CA5"/>
    <w:rsid w:val="00286D01"/>
    <w:rsid w:val="002874BE"/>
    <w:rsid w:val="00287BC8"/>
    <w:rsid w:val="002914B9"/>
    <w:rsid w:val="00291CCF"/>
    <w:rsid w:val="00292A09"/>
    <w:rsid w:val="002931ED"/>
    <w:rsid w:val="0029390E"/>
    <w:rsid w:val="002940B0"/>
    <w:rsid w:val="0029516A"/>
    <w:rsid w:val="002969E9"/>
    <w:rsid w:val="00297B43"/>
    <w:rsid w:val="002A01AE"/>
    <w:rsid w:val="002A0413"/>
    <w:rsid w:val="002A11F8"/>
    <w:rsid w:val="002A149F"/>
    <w:rsid w:val="002A26B3"/>
    <w:rsid w:val="002A311A"/>
    <w:rsid w:val="002A471A"/>
    <w:rsid w:val="002A5410"/>
    <w:rsid w:val="002A6689"/>
    <w:rsid w:val="002A7125"/>
    <w:rsid w:val="002A7674"/>
    <w:rsid w:val="002B071E"/>
    <w:rsid w:val="002B09B5"/>
    <w:rsid w:val="002B11B1"/>
    <w:rsid w:val="002B19A2"/>
    <w:rsid w:val="002B1C64"/>
    <w:rsid w:val="002B1E22"/>
    <w:rsid w:val="002B2A7B"/>
    <w:rsid w:val="002B31B4"/>
    <w:rsid w:val="002B3892"/>
    <w:rsid w:val="002B3FAD"/>
    <w:rsid w:val="002B60E5"/>
    <w:rsid w:val="002B6462"/>
    <w:rsid w:val="002B6C12"/>
    <w:rsid w:val="002B70E8"/>
    <w:rsid w:val="002C0444"/>
    <w:rsid w:val="002C053D"/>
    <w:rsid w:val="002C077D"/>
    <w:rsid w:val="002C0FF0"/>
    <w:rsid w:val="002C361E"/>
    <w:rsid w:val="002C48D6"/>
    <w:rsid w:val="002C4A9D"/>
    <w:rsid w:val="002C53F6"/>
    <w:rsid w:val="002D1E3A"/>
    <w:rsid w:val="002D271C"/>
    <w:rsid w:val="002D2AE0"/>
    <w:rsid w:val="002D32C6"/>
    <w:rsid w:val="002D3D75"/>
    <w:rsid w:val="002D4059"/>
    <w:rsid w:val="002D4283"/>
    <w:rsid w:val="002D4FBF"/>
    <w:rsid w:val="002D5943"/>
    <w:rsid w:val="002D5BE3"/>
    <w:rsid w:val="002D5E7B"/>
    <w:rsid w:val="002D7DB2"/>
    <w:rsid w:val="002D7FD0"/>
    <w:rsid w:val="002E126F"/>
    <w:rsid w:val="002E18F3"/>
    <w:rsid w:val="002E1ED3"/>
    <w:rsid w:val="002E2350"/>
    <w:rsid w:val="002E2FF6"/>
    <w:rsid w:val="002E3B67"/>
    <w:rsid w:val="002E3E99"/>
    <w:rsid w:val="002E56FE"/>
    <w:rsid w:val="002E596B"/>
    <w:rsid w:val="002E5C29"/>
    <w:rsid w:val="002E66B3"/>
    <w:rsid w:val="002E69F3"/>
    <w:rsid w:val="002E6B39"/>
    <w:rsid w:val="002E6B7E"/>
    <w:rsid w:val="002E7142"/>
    <w:rsid w:val="002F11D2"/>
    <w:rsid w:val="002F1AEE"/>
    <w:rsid w:val="002F235F"/>
    <w:rsid w:val="002F6C6E"/>
    <w:rsid w:val="002F7E3A"/>
    <w:rsid w:val="003000F5"/>
    <w:rsid w:val="003003C3"/>
    <w:rsid w:val="00301440"/>
    <w:rsid w:val="0030251A"/>
    <w:rsid w:val="0030255E"/>
    <w:rsid w:val="003025F3"/>
    <w:rsid w:val="00302F38"/>
    <w:rsid w:val="00305FD2"/>
    <w:rsid w:val="00306461"/>
    <w:rsid w:val="0030660D"/>
    <w:rsid w:val="00306C30"/>
    <w:rsid w:val="003076FF"/>
    <w:rsid w:val="00310A38"/>
    <w:rsid w:val="00310DCE"/>
    <w:rsid w:val="003115C0"/>
    <w:rsid w:val="00312219"/>
    <w:rsid w:val="00312814"/>
    <w:rsid w:val="00313A28"/>
    <w:rsid w:val="0031412B"/>
    <w:rsid w:val="003168E2"/>
    <w:rsid w:val="00316B8F"/>
    <w:rsid w:val="00317379"/>
    <w:rsid w:val="0031761B"/>
    <w:rsid w:val="00317F69"/>
    <w:rsid w:val="0032013B"/>
    <w:rsid w:val="00320209"/>
    <w:rsid w:val="0032033F"/>
    <w:rsid w:val="00320737"/>
    <w:rsid w:val="00320C53"/>
    <w:rsid w:val="00320D0A"/>
    <w:rsid w:val="00320DD6"/>
    <w:rsid w:val="0032184F"/>
    <w:rsid w:val="0032227B"/>
    <w:rsid w:val="00322D3C"/>
    <w:rsid w:val="00323439"/>
    <w:rsid w:val="00323529"/>
    <w:rsid w:val="00324747"/>
    <w:rsid w:val="00324E65"/>
    <w:rsid w:val="00324F6F"/>
    <w:rsid w:val="00325500"/>
    <w:rsid w:val="00325C1E"/>
    <w:rsid w:val="003276E9"/>
    <w:rsid w:val="00327A3E"/>
    <w:rsid w:val="00327E31"/>
    <w:rsid w:val="0033121C"/>
    <w:rsid w:val="00332225"/>
    <w:rsid w:val="00332655"/>
    <w:rsid w:val="00333A95"/>
    <w:rsid w:val="00334531"/>
    <w:rsid w:val="00334938"/>
    <w:rsid w:val="003350F2"/>
    <w:rsid w:val="0033597C"/>
    <w:rsid w:val="0033754C"/>
    <w:rsid w:val="00341394"/>
    <w:rsid w:val="0034177E"/>
    <w:rsid w:val="00342B3B"/>
    <w:rsid w:val="00342DFE"/>
    <w:rsid w:val="003432BC"/>
    <w:rsid w:val="00343E17"/>
    <w:rsid w:val="00343F95"/>
    <w:rsid w:val="003440C8"/>
    <w:rsid w:val="003448EC"/>
    <w:rsid w:val="003456C7"/>
    <w:rsid w:val="00345E65"/>
    <w:rsid w:val="00346DE9"/>
    <w:rsid w:val="00347332"/>
    <w:rsid w:val="003511AE"/>
    <w:rsid w:val="00351330"/>
    <w:rsid w:val="00351929"/>
    <w:rsid w:val="00351D93"/>
    <w:rsid w:val="00352EC2"/>
    <w:rsid w:val="0035323F"/>
    <w:rsid w:val="00353A25"/>
    <w:rsid w:val="00354053"/>
    <w:rsid w:val="003560DD"/>
    <w:rsid w:val="00356346"/>
    <w:rsid w:val="00356810"/>
    <w:rsid w:val="00356A07"/>
    <w:rsid w:val="00356C5A"/>
    <w:rsid w:val="00356CE0"/>
    <w:rsid w:val="00361EA2"/>
    <w:rsid w:val="00362748"/>
    <w:rsid w:val="00362AA8"/>
    <w:rsid w:val="0036387B"/>
    <w:rsid w:val="00363F46"/>
    <w:rsid w:val="00365D71"/>
    <w:rsid w:val="003665EA"/>
    <w:rsid w:val="00367539"/>
    <w:rsid w:val="00367E94"/>
    <w:rsid w:val="00367F1D"/>
    <w:rsid w:val="003705DC"/>
    <w:rsid w:val="003707A5"/>
    <w:rsid w:val="00370F77"/>
    <w:rsid w:val="00371E4C"/>
    <w:rsid w:val="00373B2C"/>
    <w:rsid w:val="00373E29"/>
    <w:rsid w:val="003740B8"/>
    <w:rsid w:val="00374636"/>
    <w:rsid w:val="00376041"/>
    <w:rsid w:val="00376120"/>
    <w:rsid w:val="0038088C"/>
    <w:rsid w:val="00380AE0"/>
    <w:rsid w:val="00380E82"/>
    <w:rsid w:val="0038250F"/>
    <w:rsid w:val="003829CF"/>
    <w:rsid w:val="00383DE3"/>
    <w:rsid w:val="0038428E"/>
    <w:rsid w:val="00384B7B"/>
    <w:rsid w:val="00384E4D"/>
    <w:rsid w:val="00385144"/>
    <w:rsid w:val="00386C81"/>
    <w:rsid w:val="00386CC0"/>
    <w:rsid w:val="00387229"/>
    <w:rsid w:val="003902A3"/>
    <w:rsid w:val="00390668"/>
    <w:rsid w:val="0039068D"/>
    <w:rsid w:val="0039129A"/>
    <w:rsid w:val="00392A97"/>
    <w:rsid w:val="00392EBE"/>
    <w:rsid w:val="00392F28"/>
    <w:rsid w:val="003937EE"/>
    <w:rsid w:val="0039421C"/>
    <w:rsid w:val="00394C2E"/>
    <w:rsid w:val="00394D7D"/>
    <w:rsid w:val="003955A8"/>
    <w:rsid w:val="003964F8"/>
    <w:rsid w:val="0039670F"/>
    <w:rsid w:val="003967B3"/>
    <w:rsid w:val="00397F05"/>
    <w:rsid w:val="003A0DED"/>
    <w:rsid w:val="003A10E2"/>
    <w:rsid w:val="003A165B"/>
    <w:rsid w:val="003A3F7A"/>
    <w:rsid w:val="003A43C9"/>
    <w:rsid w:val="003A4C41"/>
    <w:rsid w:val="003A4D8D"/>
    <w:rsid w:val="003A603D"/>
    <w:rsid w:val="003A69F9"/>
    <w:rsid w:val="003A7339"/>
    <w:rsid w:val="003A7AC0"/>
    <w:rsid w:val="003B1B92"/>
    <w:rsid w:val="003B2B94"/>
    <w:rsid w:val="003B45C3"/>
    <w:rsid w:val="003B4700"/>
    <w:rsid w:val="003B5B18"/>
    <w:rsid w:val="003B62A8"/>
    <w:rsid w:val="003B6632"/>
    <w:rsid w:val="003B6BDF"/>
    <w:rsid w:val="003B79C7"/>
    <w:rsid w:val="003C145E"/>
    <w:rsid w:val="003C19F3"/>
    <w:rsid w:val="003C25FB"/>
    <w:rsid w:val="003C335F"/>
    <w:rsid w:val="003C3AAD"/>
    <w:rsid w:val="003C3E02"/>
    <w:rsid w:val="003C3E45"/>
    <w:rsid w:val="003C4657"/>
    <w:rsid w:val="003C4ACD"/>
    <w:rsid w:val="003C5304"/>
    <w:rsid w:val="003C5333"/>
    <w:rsid w:val="003C55CE"/>
    <w:rsid w:val="003C6286"/>
    <w:rsid w:val="003C77AF"/>
    <w:rsid w:val="003D02F5"/>
    <w:rsid w:val="003D1BEF"/>
    <w:rsid w:val="003D499B"/>
    <w:rsid w:val="003D4D14"/>
    <w:rsid w:val="003D5BE9"/>
    <w:rsid w:val="003D6ABF"/>
    <w:rsid w:val="003D6D93"/>
    <w:rsid w:val="003D7403"/>
    <w:rsid w:val="003E0F5C"/>
    <w:rsid w:val="003E107C"/>
    <w:rsid w:val="003E1B44"/>
    <w:rsid w:val="003E1E00"/>
    <w:rsid w:val="003E20DB"/>
    <w:rsid w:val="003E36E9"/>
    <w:rsid w:val="003E3D98"/>
    <w:rsid w:val="003E5984"/>
    <w:rsid w:val="003F09D6"/>
    <w:rsid w:val="003F211A"/>
    <w:rsid w:val="003F23B1"/>
    <w:rsid w:val="003F5062"/>
    <w:rsid w:val="003F5E2B"/>
    <w:rsid w:val="003F6755"/>
    <w:rsid w:val="003F6FFB"/>
    <w:rsid w:val="003F7811"/>
    <w:rsid w:val="003F7AFF"/>
    <w:rsid w:val="004002D9"/>
    <w:rsid w:val="004020B4"/>
    <w:rsid w:val="004032D2"/>
    <w:rsid w:val="00403529"/>
    <w:rsid w:val="00404892"/>
    <w:rsid w:val="00405C6C"/>
    <w:rsid w:val="00405E39"/>
    <w:rsid w:val="00406F3A"/>
    <w:rsid w:val="004070C0"/>
    <w:rsid w:val="00407BB8"/>
    <w:rsid w:val="004115C9"/>
    <w:rsid w:val="004118F1"/>
    <w:rsid w:val="00411A51"/>
    <w:rsid w:val="00412E4D"/>
    <w:rsid w:val="00412E8B"/>
    <w:rsid w:val="0041335E"/>
    <w:rsid w:val="0041371B"/>
    <w:rsid w:val="004137DE"/>
    <w:rsid w:val="00413876"/>
    <w:rsid w:val="00414040"/>
    <w:rsid w:val="0041606E"/>
    <w:rsid w:val="004162CE"/>
    <w:rsid w:val="004167DB"/>
    <w:rsid w:val="00416DF7"/>
    <w:rsid w:val="004204B4"/>
    <w:rsid w:val="004210AD"/>
    <w:rsid w:val="00421F26"/>
    <w:rsid w:val="0042203F"/>
    <w:rsid w:val="004223C6"/>
    <w:rsid w:val="004226EA"/>
    <w:rsid w:val="00423075"/>
    <w:rsid w:val="00423DDF"/>
    <w:rsid w:val="00424040"/>
    <w:rsid w:val="004246FC"/>
    <w:rsid w:val="00425031"/>
    <w:rsid w:val="0042519B"/>
    <w:rsid w:val="00425379"/>
    <w:rsid w:val="00425EAB"/>
    <w:rsid w:val="00426C20"/>
    <w:rsid w:val="00427137"/>
    <w:rsid w:val="00427A32"/>
    <w:rsid w:val="00427E2D"/>
    <w:rsid w:val="00427F36"/>
    <w:rsid w:val="004330D1"/>
    <w:rsid w:val="00433534"/>
    <w:rsid w:val="00435645"/>
    <w:rsid w:val="00437EE6"/>
    <w:rsid w:val="00440074"/>
    <w:rsid w:val="00440835"/>
    <w:rsid w:val="00440A5E"/>
    <w:rsid w:val="00440F4E"/>
    <w:rsid w:val="00441984"/>
    <w:rsid w:val="00441AF2"/>
    <w:rsid w:val="00442596"/>
    <w:rsid w:val="0044282B"/>
    <w:rsid w:val="00442FDB"/>
    <w:rsid w:val="0044344E"/>
    <w:rsid w:val="00444550"/>
    <w:rsid w:val="00444602"/>
    <w:rsid w:val="00445419"/>
    <w:rsid w:val="00445FFE"/>
    <w:rsid w:val="0044689A"/>
    <w:rsid w:val="00447D68"/>
    <w:rsid w:val="00447E45"/>
    <w:rsid w:val="00447F08"/>
    <w:rsid w:val="00452B44"/>
    <w:rsid w:val="00453AB0"/>
    <w:rsid w:val="00453CBA"/>
    <w:rsid w:val="0045587C"/>
    <w:rsid w:val="00455C3C"/>
    <w:rsid w:val="00456FD1"/>
    <w:rsid w:val="00456FE0"/>
    <w:rsid w:val="00457E1E"/>
    <w:rsid w:val="004622D5"/>
    <w:rsid w:val="004627FC"/>
    <w:rsid w:val="00463FA5"/>
    <w:rsid w:val="004645D0"/>
    <w:rsid w:val="004648CC"/>
    <w:rsid w:val="00465168"/>
    <w:rsid w:val="0046533C"/>
    <w:rsid w:val="004660A4"/>
    <w:rsid w:val="00466547"/>
    <w:rsid w:val="00466898"/>
    <w:rsid w:val="00466FD7"/>
    <w:rsid w:val="0046700A"/>
    <w:rsid w:val="0046759F"/>
    <w:rsid w:val="00467C62"/>
    <w:rsid w:val="004703AD"/>
    <w:rsid w:val="004709DF"/>
    <w:rsid w:val="00471166"/>
    <w:rsid w:val="004714A2"/>
    <w:rsid w:val="00471933"/>
    <w:rsid w:val="00471CC9"/>
    <w:rsid w:val="00472C4F"/>
    <w:rsid w:val="004737D9"/>
    <w:rsid w:val="00474FD1"/>
    <w:rsid w:val="00475B39"/>
    <w:rsid w:val="00476018"/>
    <w:rsid w:val="00476A53"/>
    <w:rsid w:val="00477938"/>
    <w:rsid w:val="00477B69"/>
    <w:rsid w:val="00480D18"/>
    <w:rsid w:val="0048285C"/>
    <w:rsid w:val="004831A5"/>
    <w:rsid w:val="00483998"/>
    <w:rsid w:val="004848B7"/>
    <w:rsid w:val="00484C58"/>
    <w:rsid w:val="004861B6"/>
    <w:rsid w:val="00487032"/>
    <w:rsid w:val="004870D9"/>
    <w:rsid w:val="00487FD3"/>
    <w:rsid w:val="0049206B"/>
    <w:rsid w:val="00492569"/>
    <w:rsid w:val="00492E86"/>
    <w:rsid w:val="004938AF"/>
    <w:rsid w:val="004940B2"/>
    <w:rsid w:val="00494DEA"/>
    <w:rsid w:val="00494DF5"/>
    <w:rsid w:val="00495518"/>
    <w:rsid w:val="004A061B"/>
    <w:rsid w:val="004A1F28"/>
    <w:rsid w:val="004A417C"/>
    <w:rsid w:val="004A472F"/>
    <w:rsid w:val="004A487F"/>
    <w:rsid w:val="004A5BC5"/>
    <w:rsid w:val="004A7222"/>
    <w:rsid w:val="004B12ED"/>
    <w:rsid w:val="004B1D05"/>
    <w:rsid w:val="004B22AF"/>
    <w:rsid w:val="004B305A"/>
    <w:rsid w:val="004B328F"/>
    <w:rsid w:val="004B32BA"/>
    <w:rsid w:val="004B3827"/>
    <w:rsid w:val="004B6EF6"/>
    <w:rsid w:val="004B7A61"/>
    <w:rsid w:val="004C02DD"/>
    <w:rsid w:val="004C0FEB"/>
    <w:rsid w:val="004C1BC9"/>
    <w:rsid w:val="004C256A"/>
    <w:rsid w:val="004C2AFF"/>
    <w:rsid w:val="004C3870"/>
    <w:rsid w:val="004C42A5"/>
    <w:rsid w:val="004C5202"/>
    <w:rsid w:val="004C56A8"/>
    <w:rsid w:val="004C6584"/>
    <w:rsid w:val="004C6F00"/>
    <w:rsid w:val="004C7340"/>
    <w:rsid w:val="004D08DC"/>
    <w:rsid w:val="004D184B"/>
    <w:rsid w:val="004D2556"/>
    <w:rsid w:val="004D4239"/>
    <w:rsid w:val="004D592C"/>
    <w:rsid w:val="004D6715"/>
    <w:rsid w:val="004E012D"/>
    <w:rsid w:val="004E0B5A"/>
    <w:rsid w:val="004E1620"/>
    <w:rsid w:val="004E2199"/>
    <w:rsid w:val="004E3B86"/>
    <w:rsid w:val="004E42F5"/>
    <w:rsid w:val="004E46BC"/>
    <w:rsid w:val="004E60AB"/>
    <w:rsid w:val="004E66F0"/>
    <w:rsid w:val="004E6A31"/>
    <w:rsid w:val="004E6B83"/>
    <w:rsid w:val="004E72C7"/>
    <w:rsid w:val="004E7CE8"/>
    <w:rsid w:val="004E7D94"/>
    <w:rsid w:val="004F133B"/>
    <w:rsid w:val="004F243B"/>
    <w:rsid w:val="004F2552"/>
    <w:rsid w:val="004F268D"/>
    <w:rsid w:val="004F3C17"/>
    <w:rsid w:val="004F474F"/>
    <w:rsid w:val="004F4E21"/>
    <w:rsid w:val="004F57C9"/>
    <w:rsid w:val="004F640E"/>
    <w:rsid w:val="00502FE1"/>
    <w:rsid w:val="00503434"/>
    <w:rsid w:val="00503A3B"/>
    <w:rsid w:val="00504205"/>
    <w:rsid w:val="0050437E"/>
    <w:rsid w:val="005044D3"/>
    <w:rsid w:val="005051F0"/>
    <w:rsid w:val="0050573A"/>
    <w:rsid w:val="00505D6B"/>
    <w:rsid w:val="005072B0"/>
    <w:rsid w:val="00510897"/>
    <w:rsid w:val="00513E77"/>
    <w:rsid w:val="00514A01"/>
    <w:rsid w:val="00516A93"/>
    <w:rsid w:val="005213E6"/>
    <w:rsid w:val="0052195E"/>
    <w:rsid w:val="00522C84"/>
    <w:rsid w:val="005236C2"/>
    <w:rsid w:val="00523F59"/>
    <w:rsid w:val="005270B7"/>
    <w:rsid w:val="005307CB"/>
    <w:rsid w:val="005317B5"/>
    <w:rsid w:val="00532226"/>
    <w:rsid w:val="00534C95"/>
    <w:rsid w:val="00536A41"/>
    <w:rsid w:val="005371B0"/>
    <w:rsid w:val="00540216"/>
    <w:rsid w:val="0054172F"/>
    <w:rsid w:val="005442FE"/>
    <w:rsid w:val="00544964"/>
    <w:rsid w:val="00544CB4"/>
    <w:rsid w:val="0054617C"/>
    <w:rsid w:val="005470B8"/>
    <w:rsid w:val="00550491"/>
    <w:rsid w:val="005504F8"/>
    <w:rsid w:val="005508B8"/>
    <w:rsid w:val="00551CCA"/>
    <w:rsid w:val="005525A7"/>
    <w:rsid w:val="0055285F"/>
    <w:rsid w:val="00552942"/>
    <w:rsid w:val="005536BA"/>
    <w:rsid w:val="005568A3"/>
    <w:rsid w:val="00561089"/>
    <w:rsid w:val="005619A4"/>
    <w:rsid w:val="00562254"/>
    <w:rsid w:val="00563179"/>
    <w:rsid w:val="0056532D"/>
    <w:rsid w:val="005655DF"/>
    <w:rsid w:val="005655F3"/>
    <w:rsid w:val="00565620"/>
    <w:rsid w:val="00570F3F"/>
    <w:rsid w:val="005711ED"/>
    <w:rsid w:val="00572C88"/>
    <w:rsid w:val="005734C9"/>
    <w:rsid w:val="00574417"/>
    <w:rsid w:val="00574A3A"/>
    <w:rsid w:val="00574D1A"/>
    <w:rsid w:val="00575DAB"/>
    <w:rsid w:val="00576B75"/>
    <w:rsid w:val="005776B0"/>
    <w:rsid w:val="00582486"/>
    <w:rsid w:val="00582C89"/>
    <w:rsid w:val="0058376B"/>
    <w:rsid w:val="00583C01"/>
    <w:rsid w:val="00584378"/>
    <w:rsid w:val="00585A7A"/>
    <w:rsid w:val="005860E4"/>
    <w:rsid w:val="005863E4"/>
    <w:rsid w:val="00586698"/>
    <w:rsid w:val="00587040"/>
    <w:rsid w:val="00591605"/>
    <w:rsid w:val="00591DD9"/>
    <w:rsid w:val="00592F15"/>
    <w:rsid w:val="005935B3"/>
    <w:rsid w:val="00593C3D"/>
    <w:rsid w:val="00595117"/>
    <w:rsid w:val="005A23BD"/>
    <w:rsid w:val="005A30E2"/>
    <w:rsid w:val="005A52C0"/>
    <w:rsid w:val="005A750B"/>
    <w:rsid w:val="005A7670"/>
    <w:rsid w:val="005A7877"/>
    <w:rsid w:val="005A795A"/>
    <w:rsid w:val="005A7CBD"/>
    <w:rsid w:val="005B02B4"/>
    <w:rsid w:val="005B18C0"/>
    <w:rsid w:val="005B202D"/>
    <w:rsid w:val="005B23A7"/>
    <w:rsid w:val="005B3CDC"/>
    <w:rsid w:val="005B561C"/>
    <w:rsid w:val="005B5CE6"/>
    <w:rsid w:val="005B63C2"/>
    <w:rsid w:val="005B6D0B"/>
    <w:rsid w:val="005C0574"/>
    <w:rsid w:val="005C1A9E"/>
    <w:rsid w:val="005C33BA"/>
    <w:rsid w:val="005C3A3D"/>
    <w:rsid w:val="005C3AEA"/>
    <w:rsid w:val="005C3FF2"/>
    <w:rsid w:val="005C46D0"/>
    <w:rsid w:val="005C4AAF"/>
    <w:rsid w:val="005C4B28"/>
    <w:rsid w:val="005C5C94"/>
    <w:rsid w:val="005C624D"/>
    <w:rsid w:val="005C73A2"/>
    <w:rsid w:val="005D017A"/>
    <w:rsid w:val="005D02E4"/>
    <w:rsid w:val="005D1A21"/>
    <w:rsid w:val="005D1DAC"/>
    <w:rsid w:val="005D35A3"/>
    <w:rsid w:val="005D36B6"/>
    <w:rsid w:val="005D3CB9"/>
    <w:rsid w:val="005D61D1"/>
    <w:rsid w:val="005D639B"/>
    <w:rsid w:val="005D72CA"/>
    <w:rsid w:val="005E05BA"/>
    <w:rsid w:val="005E1110"/>
    <w:rsid w:val="005E126D"/>
    <w:rsid w:val="005E149B"/>
    <w:rsid w:val="005E30E1"/>
    <w:rsid w:val="005E3946"/>
    <w:rsid w:val="005E5AB2"/>
    <w:rsid w:val="005E720F"/>
    <w:rsid w:val="005E7C94"/>
    <w:rsid w:val="005E7D5C"/>
    <w:rsid w:val="005F0552"/>
    <w:rsid w:val="005F088D"/>
    <w:rsid w:val="005F1282"/>
    <w:rsid w:val="005F14A2"/>
    <w:rsid w:val="005F2DC9"/>
    <w:rsid w:val="005F2FBE"/>
    <w:rsid w:val="005F4212"/>
    <w:rsid w:val="005F46B5"/>
    <w:rsid w:val="005F6260"/>
    <w:rsid w:val="00600FD9"/>
    <w:rsid w:val="00601607"/>
    <w:rsid w:val="00601B88"/>
    <w:rsid w:val="006025FD"/>
    <w:rsid w:val="006027E4"/>
    <w:rsid w:val="00604392"/>
    <w:rsid w:val="006043F1"/>
    <w:rsid w:val="00604DCA"/>
    <w:rsid w:val="006062B7"/>
    <w:rsid w:val="00610A5A"/>
    <w:rsid w:val="0061100C"/>
    <w:rsid w:val="00611F37"/>
    <w:rsid w:val="0061277B"/>
    <w:rsid w:val="006133DB"/>
    <w:rsid w:val="00613775"/>
    <w:rsid w:val="006138BC"/>
    <w:rsid w:val="006142AC"/>
    <w:rsid w:val="006160EB"/>
    <w:rsid w:val="00616245"/>
    <w:rsid w:val="0061628A"/>
    <w:rsid w:val="006176FD"/>
    <w:rsid w:val="00617E01"/>
    <w:rsid w:val="00620BC3"/>
    <w:rsid w:val="00622BCD"/>
    <w:rsid w:val="00622D02"/>
    <w:rsid w:val="00623061"/>
    <w:rsid w:val="006230AD"/>
    <w:rsid w:val="00623688"/>
    <w:rsid w:val="00623CE5"/>
    <w:rsid w:val="00624631"/>
    <w:rsid w:val="006253FE"/>
    <w:rsid w:val="0062664E"/>
    <w:rsid w:val="0062759B"/>
    <w:rsid w:val="0063072B"/>
    <w:rsid w:val="006309DF"/>
    <w:rsid w:val="00633C98"/>
    <w:rsid w:val="00633F04"/>
    <w:rsid w:val="006341A7"/>
    <w:rsid w:val="00634E4A"/>
    <w:rsid w:val="00635544"/>
    <w:rsid w:val="00636319"/>
    <w:rsid w:val="00637550"/>
    <w:rsid w:val="006377AC"/>
    <w:rsid w:val="00637EA8"/>
    <w:rsid w:val="00640383"/>
    <w:rsid w:val="00641518"/>
    <w:rsid w:val="00641F66"/>
    <w:rsid w:val="00642A57"/>
    <w:rsid w:val="00642A79"/>
    <w:rsid w:val="006433DC"/>
    <w:rsid w:val="00644CC0"/>
    <w:rsid w:val="00645A35"/>
    <w:rsid w:val="00645E47"/>
    <w:rsid w:val="00645F9C"/>
    <w:rsid w:val="006466AC"/>
    <w:rsid w:val="006505D1"/>
    <w:rsid w:val="006511A3"/>
    <w:rsid w:val="0065261F"/>
    <w:rsid w:val="006527F5"/>
    <w:rsid w:val="006539DF"/>
    <w:rsid w:val="006550B7"/>
    <w:rsid w:val="00655791"/>
    <w:rsid w:val="006609FA"/>
    <w:rsid w:val="00660DFE"/>
    <w:rsid w:val="00660F30"/>
    <w:rsid w:val="0066110C"/>
    <w:rsid w:val="00661383"/>
    <w:rsid w:val="00661973"/>
    <w:rsid w:val="00661E9E"/>
    <w:rsid w:val="00662F6D"/>
    <w:rsid w:val="00663E66"/>
    <w:rsid w:val="006642F8"/>
    <w:rsid w:val="006647C7"/>
    <w:rsid w:val="00666E9A"/>
    <w:rsid w:val="0066763C"/>
    <w:rsid w:val="00667C08"/>
    <w:rsid w:val="006704A6"/>
    <w:rsid w:val="00670E68"/>
    <w:rsid w:val="0067291A"/>
    <w:rsid w:val="00672D14"/>
    <w:rsid w:val="006732AC"/>
    <w:rsid w:val="00674726"/>
    <w:rsid w:val="006748D7"/>
    <w:rsid w:val="00674DCD"/>
    <w:rsid w:val="00675869"/>
    <w:rsid w:val="0067597B"/>
    <w:rsid w:val="00675AA2"/>
    <w:rsid w:val="00675B76"/>
    <w:rsid w:val="006765DD"/>
    <w:rsid w:val="00676889"/>
    <w:rsid w:val="00676B0E"/>
    <w:rsid w:val="00677CE8"/>
    <w:rsid w:val="00677D86"/>
    <w:rsid w:val="006800B2"/>
    <w:rsid w:val="006802BC"/>
    <w:rsid w:val="0068059A"/>
    <w:rsid w:val="0068157B"/>
    <w:rsid w:val="00681A86"/>
    <w:rsid w:val="00683AE0"/>
    <w:rsid w:val="00684587"/>
    <w:rsid w:val="00684FA4"/>
    <w:rsid w:val="006858D2"/>
    <w:rsid w:val="00686B85"/>
    <w:rsid w:val="006914A6"/>
    <w:rsid w:val="00691C18"/>
    <w:rsid w:val="00692219"/>
    <w:rsid w:val="00692D73"/>
    <w:rsid w:val="00692F71"/>
    <w:rsid w:val="0069364A"/>
    <w:rsid w:val="00693713"/>
    <w:rsid w:val="006937C9"/>
    <w:rsid w:val="00694E3B"/>
    <w:rsid w:val="006968A9"/>
    <w:rsid w:val="006970D1"/>
    <w:rsid w:val="006976A3"/>
    <w:rsid w:val="0069775B"/>
    <w:rsid w:val="00697DE3"/>
    <w:rsid w:val="006A0C71"/>
    <w:rsid w:val="006A0EE2"/>
    <w:rsid w:val="006A165E"/>
    <w:rsid w:val="006A1BCC"/>
    <w:rsid w:val="006A20F2"/>
    <w:rsid w:val="006A2E05"/>
    <w:rsid w:val="006A34A6"/>
    <w:rsid w:val="006A3B49"/>
    <w:rsid w:val="006A3C60"/>
    <w:rsid w:val="006A438F"/>
    <w:rsid w:val="006A5181"/>
    <w:rsid w:val="006A5838"/>
    <w:rsid w:val="006B3438"/>
    <w:rsid w:val="006B38A4"/>
    <w:rsid w:val="006B5275"/>
    <w:rsid w:val="006B568D"/>
    <w:rsid w:val="006B5C06"/>
    <w:rsid w:val="006B5DCA"/>
    <w:rsid w:val="006B6277"/>
    <w:rsid w:val="006B67BD"/>
    <w:rsid w:val="006B6FB2"/>
    <w:rsid w:val="006B7198"/>
    <w:rsid w:val="006B7BFB"/>
    <w:rsid w:val="006C04DA"/>
    <w:rsid w:val="006C05DE"/>
    <w:rsid w:val="006C0838"/>
    <w:rsid w:val="006C0ABF"/>
    <w:rsid w:val="006C0CFB"/>
    <w:rsid w:val="006C2970"/>
    <w:rsid w:val="006C2BF5"/>
    <w:rsid w:val="006C4656"/>
    <w:rsid w:val="006C5B5A"/>
    <w:rsid w:val="006C5B96"/>
    <w:rsid w:val="006C72BD"/>
    <w:rsid w:val="006C73F2"/>
    <w:rsid w:val="006D168B"/>
    <w:rsid w:val="006D2791"/>
    <w:rsid w:val="006D2E3E"/>
    <w:rsid w:val="006D4C39"/>
    <w:rsid w:val="006D4FCA"/>
    <w:rsid w:val="006D5A33"/>
    <w:rsid w:val="006D5DCF"/>
    <w:rsid w:val="006D739E"/>
    <w:rsid w:val="006D7A27"/>
    <w:rsid w:val="006D7CA7"/>
    <w:rsid w:val="006E26AC"/>
    <w:rsid w:val="006E47E6"/>
    <w:rsid w:val="006E5359"/>
    <w:rsid w:val="006E54A5"/>
    <w:rsid w:val="006E56ED"/>
    <w:rsid w:val="006E590E"/>
    <w:rsid w:val="006E65F8"/>
    <w:rsid w:val="006F057F"/>
    <w:rsid w:val="006F09EE"/>
    <w:rsid w:val="006F2A9A"/>
    <w:rsid w:val="006F3102"/>
    <w:rsid w:val="006F3C8B"/>
    <w:rsid w:val="006F4847"/>
    <w:rsid w:val="006F53D9"/>
    <w:rsid w:val="006F5D4E"/>
    <w:rsid w:val="006F6D3A"/>
    <w:rsid w:val="006F72BA"/>
    <w:rsid w:val="00701BDC"/>
    <w:rsid w:val="00702839"/>
    <w:rsid w:val="00702CF0"/>
    <w:rsid w:val="00703997"/>
    <w:rsid w:val="00704014"/>
    <w:rsid w:val="00704AA0"/>
    <w:rsid w:val="00705B77"/>
    <w:rsid w:val="00705C39"/>
    <w:rsid w:val="00705C77"/>
    <w:rsid w:val="0070620A"/>
    <w:rsid w:val="00707368"/>
    <w:rsid w:val="00711E85"/>
    <w:rsid w:val="00712573"/>
    <w:rsid w:val="00712948"/>
    <w:rsid w:val="00713DBE"/>
    <w:rsid w:val="00714013"/>
    <w:rsid w:val="00714052"/>
    <w:rsid w:val="00714B60"/>
    <w:rsid w:val="00714C8B"/>
    <w:rsid w:val="00716D59"/>
    <w:rsid w:val="00716D60"/>
    <w:rsid w:val="007205D4"/>
    <w:rsid w:val="00720ED4"/>
    <w:rsid w:val="00721B6A"/>
    <w:rsid w:val="00721E65"/>
    <w:rsid w:val="007223E5"/>
    <w:rsid w:val="00723748"/>
    <w:rsid w:val="00723BAA"/>
    <w:rsid w:val="00723D85"/>
    <w:rsid w:val="00723F9B"/>
    <w:rsid w:val="00724B44"/>
    <w:rsid w:val="0072570A"/>
    <w:rsid w:val="0072685D"/>
    <w:rsid w:val="00726995"/>
    <w:rsid w:val="0073010A"/>
    <w:rsid w:val="00730828"/>
    <w:rsid w:val="00730964"/>
    <w:rsid w:val="00731621"/>
    <w:rsid w:val="0073164F"/>
    <w:rsid w:val="00732617"/>
    <w:rsid w:val="00732823"/>
    <w:rsid w:val="00732B9F"/>
    <w:rsid w:val="007334B1"/>
    <w:rsid w:val="00733905"/>
    <w:rsid w:val="007347DA"/>
    <w:rsid w:val="00734C68"/>
    <w:rsid w:val="00735707"/>
    <w:rsid w:val="00735CAF"/>
    <w:rsid w:val="00735D22"/>
    <w:rsid w:val="00735E46"/>
    <w:rsid w:val="00735E93"/>
    <w:rsid w:val="00737B0F"/>
    <w:rsid w:val="00740370"/>
    <w:rsid w:val="00742B61"/>
    <w:rsid w:val="00743069"/>
    <w:rsid w:val="00743684"/>
    <w:rsid w:val="00744B5B"/>
    <w:rsid w:val="00744E9E"/>
    <w:rsid w:val="00745365"/>
    <w:rsid w:val="00745E7F"/>
    <w:rsid w:val="00745E80"/>
    <w:rsid w:val="0074600C"/>
    <w:rsid w:val="007465A5"/>
    <w:rsid w:val="00747C7D"/>
    <w:rsid w:val="0075082F"/>
    <w:rsid w:val="007509E2"/>
    <w:rsid w:val="00751445"/>
    <w:rsid w:val="007541EF"/>
    <w:rsid w:val="00755695"/>
    <w:rsid w:val="00755EAA"/>
    <w:rsid w:val="00756841"/>
    <w:rsid w:val="00756E8F"/>
    <w:rsid w:val="00757184"/>
    <w:rsid w:val="00757686"/>
    <w:rsid w:val="00757CF4"/>
    <w:rsid w:val="007617F3"/>
    <w:rsid w:val="00761E60"/>
    <w:rsid w:val="00762C30"/>
    <w:rsid w:val="00763262"/>
    <w:rsid w:val="0076330A"/>
    <w:rsid w:val="00764096"/>
    <w:rsid w:val="0076453B"/>
    <w:rsid w:val="007662DA"/>
    <w:rsid w:val="00766D15"/>
    <w:rsid w:val="00767320"/>
    <w:rsid w:val="00767C99"/>
    <w:rsid w:val="00770488"/>
    <w:rsid w:val="00770662"/>
    <w:rsid w:val="00770EE9"/>
    <w:rsid w:val="0077110A"/>
    <w:rsid w:val="00772455"/>
    <w:rsid w:val="00772600"/>
    <w:rsid w:val="00773161"/>
    <w:rsid w:val="007732BD"/>
    <w:rsid w:val="0077367D"/>
    <w:rsid w:val="00773F58"/>
    <w:rsid w:val="00774F16"/>
    <w:rsid w:val="007752AF"/>
    <w:rsid w:val="00776366"/>
    <w:rsid w:val="00777113"/>
    <w:rsid w:val="00777789"/>
    <w:rsid w:val="00777DB3"/>
    <w:rsid w:val="00780A2D"/>
    <w:rsid w:val="00780ED7"/>
    <w:rsid w:val="00782CAC"/>
    <w:rsid w:val="00783A19"/>
    <w:rsid w:val="007842F6"/>
    <w:rsid w:val="00784342"/>
    <w:rsid w:val="00784835"/>
    <w:rsid w:val="007876C2"/>
    <w:rsid w:val="0078770D"/>
    <w:rsid w:val="00790956"/>
    <w:rsid w:val="00790DBB"/>
    <w:rsid w:val="00790F82"/>
    <w:rsid w:val="00791C64"/>
    <w:rsid w:val="00791F5F"/>
    <w:rsid w:val="00791F8E"/>
    <w:rsid w:val="00793C4E"/>
    <w:rsid w:val="0079654B"/>
    <w:rsid w:val="007A06A3"/>
    <w:rsid w:val="007A0FE6"/>
    <w:rsid w:val="007A14AD"/>
    <w:rsid w:val="007A1C51"/>
    <w:rsid w:val="007A3A88"/>
    <w:rsid w:val="007A4EBB"/>
    <w:rsid w:val="007A4F05"/>
    <w:rsid w:val="007A62D9"/>
    <w:rsid w:val="007A7876"/>
    <w:rsid w:val="007A7F8C"/>
    <w:rsid w:val="007B31D1"/>
    <w:rsid w:val="007B3741"/>
    <w:rsid w:val="007B4381"/>
    <w:rsid w:val="007B4676"/>
    <w:rsid w:val="007B5334"/>
    <w:rsid w:val="007B74F9"/>
    <w:rsid w:val="007C0828"/>
    <w:rsid w:val="007C0FC3"/>
    <w:rsid w:val="007C1492"/>
    <w:rsid w:val="007C2E8E"/>
    <w:rsid w:val="007C3454"/>
    <w:rsid w:val="007C34D1"/>
    <w:rsid w:val="007C418B"/>
    <w:rsid w:val="007C42D5"/>
    <w:rsid w:val="007C42F8"/>
    <w:rsid w:val="007C43F4"/>
    <w:rsid w:val="007C4E56"/>
    <w:rsid w:val="007C63A7"/>
    <w:rsid w:val="007D01CD"/>
    <w:rsid w:val="007D0E76"/>
    <w:rsid w:val="007D158E"/>
    <w:rsid w:val="007D20AF"/>
    <w:rsid w:val="007D304D"/>
    <w:rsid w:val="007D4472"/>
    <w:rsid w:val="007D4ABD"/>
    <w:rsid w:val="007D6ADB"/>
    <w:rsid w:val="007D6C24"/>
    <w:rsid w:val="007D709F"/>
    <w:rsid w:val="007D71B0"/>
    <w:rsid w:val="007D77CF"/>
    <w:rsid w:val="007D7850"/>
    <w:rsid w:val="007E0086"/>
    <w:rsid w:val="007E0F40"/>
    <w:rsid w:val="007E144A"/>
    <w:rsid w:val="007E23FD"/>
    <w:rsid w:val="007E2A7C"/>
    <w:rsid w:val="007E3909"/>
    <w:rsid w:val="007E3ED6"/>
    <w:rsid w:val="007E5530"/>
    <w:rsid w:val="007E56BC"/>
    <w:rsid w:val="007E607C"/>
    <w:rsid w:val="007E7FDB"/>
    <w:rsid w:val="007F1A3B"/>
    <w:rsid w:val="007F1AC5"/>
    <w:rsid w:val="007F1E59"/>
    <w:rsid w:val="007F24A0"/>
    <w:rsid w:val="007F2B3A"/>
    <w:rsid w:val="007F33B3"/>
    <w:rsid w:val="007F34AA"/>
    <w:rsid w:val="007F3546"/>
    <w:rsid w:val="007F3FC5"/>
    <w:rsid w:val="007F418A"/>
    <w:rsid w:val="007F6A1A"/>
    <w:rsid w:val="007F6EFE"/>
    <w:rsid w:val="007F7D00"/>
    <w:rsid w:val="00800FBC"/>
    <w:rsid w:val="00803542"/>
    <w:rsid w:val="00803595"/>
    <w:rsid w:val="008040FA"/>
    <w:rsid w:val="00804FC2"/>
    <w:rsid w:val="0080532B"/>
    <w:rsid w:val="008056F7"/>
    <w:rsid w:val="00805744"/>
    <w:rsid w:val="00805811"/>
    <w:rsid w:val="00807CCB"/>
    <w:rsid w:val="00807D43"/>
    <w:rsid w:val="00810F6A"/>
    <w:rsid w:val="0081242A"/>
    <w:rsid w:val="00812ACF"/>
    <w:rsid w:val="00812B5A"/>
    <w:rsid w:val="00814B89"/>
    <w:rsid w:val="00815F20"/>
    <w:rsid w:val="0081659C"/>
    <w:rsid w:val="00816965"/>
    <w:rsid w:val="00816D38"/>
    <w:rsid w:val="00816E17"/>
    <w:rsid w:val="00817673"/>
    <w:rsid w:val="00820E5D"/>
    <w:rsid w:val="00822EA6"/>
    <w:rsid w:val="0082331A"/>
    <w:rsid w:val="00823536"/>
    <w:rsid w:val="00823FD9"/>
    <w:rsid w:val="00824622"/>
    <w:rsid w:val="00826297"/>
    <w:rsid w:val="00827033"/>
    <w:rsid w:val="008277AB"/>
    <w:rsid w:val="008279A5"/>
    <w:rsid w:val="008303EF"/>
    <w:rsid w:val="0083198D"/>
    <w:rsid w:val="00831A83"/>
    <w:rsid w:val="00832124"/>
    <w:rsid w:val="008329C6"/>
    <w:rsid w:val="0083365C"/>
    <w:rsid w:val="0084042B"/>
    <w:rsid w:val="008412BD"/>
    <w:rsid w:val="00841D1E"/>
    <w:rsid w:val="00841E05"/>
    <w:rsid w:val="008431E9"/>
    <w:rsid w:val="00844269"/>
    <w:rsid w:val="00845311"/>
    <w:rsid w:val="008453B8"/>
    <w:rsid w:val="008456DD"/>
    <w:rsid w:val="008467FE"/>
    <w:rsid w:val="00846B81"/>
    <w:rsid w:val="00846DAB"/>
    <w:rsid w:val="00847320"/>
    <w:rsid w:val="008478E4"/>
    <w:rsid w:val="00847B9B"/>
    <w:rsid w:val="00851311"/>
    <w:rsid w:val="00852855"/>
    <w:rsid w:val="00853546"/>
    <w:rsid w:val="00855090"/>
    <w:rsid w:val="0085596D"/>
    <w:rsid w:val="00855C9F"/>
    <w:rsid w:val="00855EB8"/>
    <w:rsid w:val="0085703D"/>
    <w:rsid w:val="0085735F"/>
    <w:rsid w:val="00860777"/>
    <w:rsid w:val="00861118"/>
    <w:rsid w:val="0086156A"/>
    <w:rsid w:val="00862335"/>
    <w:rsid w:val="008632F7"/>
    <w:rsid w:val="0086372A"/>
    <w:rsid w:val="0086459A"/>
    <w:rsid w:val="00864706"/>
    <w:rsid w:val="00864F6B"/>
    <w:rsid w:val="00865B58"/>
    <w:rsid w:val="00866A46"/>
    <w:rsid w:val="00866CFF"/>
    <w:rsid w:val="00867688"/>
    <w:rsid w:val="00870282"/>
    <w:rsid w:val="0087030B"/>
    <w:rsid w:val="0087059A"/>
    <w:rsid w:val="00870717"/>
    <w:rsid w:val="00870F9B"/>
    <w:rsid w:val="00873450"/>
    <w:rsid w:val="00873B42"/>
    <w:rsid w:val="00873EF4"/>
    <w:rsid w:val="0087476E"/>
    <w:rsid w:val="00875764"/>
    <w:rsid w:val="0087623D"/>
    <w:rsid w:val="008764E5"/>
    <w:rsid w:val="0087721E"/>
    <w:rsid w:val="00880F09"/>
    <w:rsid w:val="0088141A"/>
    <w:rsid w:val="00881F16"/>
    <w:rsid w:val="00882356"/>
    <w:rsid w:val="0088285B"/>
    <w:rsid w:val="00882FD5"/>
    <w:rsid w:val="008839A5"/>
    <w:rsid w:val="00884D6A"/>
    <w:rsid w:val="00885BB9"/>
    <w:rsid w:val="00885CD0"/>
    <w:rsid w:val="00887F12"/>
    <w:rsid w:val="00891786"/>
    <w:rsid w:val="00891C1B"/>
    <w:rsid w:val="00892240"/>
    <w:rsid w:val="00893004"/>
    <w:rsid w:val="0089440B"/>
    <w:rsid w:val="00896AA5"/>
    <w:rsid w:val="00897BA3"/>
    <w:rsid w:val="008A0813"/>
    <w:rsid w:val="008A0BE0"/>
    <w:rsid w:val="008A2077"/>
    <w:rsid w:val="008A2C2E"/>
    <w:rsid w:val="008A30DB"/>
    <w:rsid w:val="008A3993"/>
    <w:rsid w:val="008A45C3"/>
    <w:rsid w:val="008A4A90"/>
    <w:rsid w:val="008A574C"/>
    <w:rsid w:val="008A5F1C"/>
    <w:rsid w:val="008A6BBC"/>
    <w:rsid w:val="008A6D33"/>
    <w:rsid w:val="008A6DAB"/>
    <w:rsid w:val="008B03C0"/>
    <w:rsid w:val="008B05FA"/>
    <w:rsid w:val="008B082C"/>
    <w:rsid w:val="008B0876"/>
    <w:rsid w:val="008B2926"/>
    <w:rsid w:val="008B3FBC"/>
    <w:rsid w:val="008B4516"/>
    <w:rsid w:val="008B45E5"/>
    <w:rsid w:val="008B48F6"/>
    <w:rsid w:val="008B5137"/>
    <w:rsid w:val="008B5619"/>
    <w:rsid w:val="008B666F"/>
    <w:rsid w:val="008B68D6"/>
    <w:rsid w:val="008B6FE4"/>
    <w:rsid w:val="008B72DB"/>
    <w:rsid w:val="008B773E"/>
    <w:rsid w:val="008B7C17"/>
    <w:rsid w:val="008C03FE"/>
    <w:rsid w:val="008C0479"/>
    <w:rsid w:val="008C0A55"/>
    <w:rsid w:val="008C1010"/>
    <w:rsid w:val="008C1647"/>
    <w:rsid w:val="008C16CE"/>
    <w:rsid w:val="008C24A9"/>
    <w:rsid w:val="008C36B8"/>
    <w:rsid w:val="008C395C"/>
    <w:rsid w:val="008C4926"/>
    <w:rsid w:val="008C4D37"/>
    <w:rsid w:val="008C5968"/>
    <w:rsid w:val="008C63EE"/>
    <w:rsid w:val="008D1E12"/>
    <w:rsid w:val="008D3489"/>
    <w:rsid w:val="008D538E"/>
    <w:rsid w:val="008D5469"/>
    <w:rsid w:val="008D5A66"/>
    <w:rsid w:val="008D63E6"/>
    <w:rsid w:val="008D67AE"/>
    <w:rsid w:val="008D6C44"/>
    <w:rsid w:val="008D7E04"/>
    <w:rsid w:val="008E011B"/>
    <w:rsid w:val="008E2445"/>
    <w:rsid w:val="008E3B79"/>
    <w:rsid w:val="008E3FFE"/>
    <w:rsid w:val="008E5AEE"/>
    <w:rsid w:val="008E6263"/>
    <w:rsid w:val="008E656A"/>
    <w:rsid w:val="008E6E21"/>
    <w:rsid w:val="008E7128"/>
    <w:rsid w:val="008E7408"/>
    <w:rsid w:val="008F0AB8"/>
    <w:rsid w:val="008F1E39"/>
    <w:rsid w:val="008F20F2"/>
    <w:rsid w:val="008F356F"/>
    <w:rsid w:val="008F3591"/>
    <w:rsid w:val="008F4EF6"/>
    <w:rsid w:val="008F5A27"/>
    <w:rsid w:val="008F6881"/>
    <w:rsid w:val="008F6AFC"/>
    <w:rsid w:val="008F6CE3"/>
    <w:rsid w:val="008F6EC8"/>
    <w:rsid w:val="008F743B"/>
    <w:rsid w:val="0090020D"/>
    <w:rsid w:val="009027AD"/>
    <w:rsid w:val="00904673"/>
    <w:rsid w:val="00905E10"/>
    <w:rsid w:val="0090624D"/>
    <w:rsid w:val="00906B2D"/>
    <w:rsid w:val="00906BB4"/>
    <w:rsid w:val="00906CA7"/>
    <w:rsid w:val="00907C6C"/>
    <w:rsid w:val="009112E9"/>
    <w:rsid w:val="0091244A"/>
    <w:rsid w:val="00913032"/>
    <w:rsid w:val="00914106"/>
    <w:rsid w:val="00914758"/>
    <w:rsid w:val="0091515C"/>
    <w:rsid w:val="009157CC"/>
    <w:rsid w:val="00915CBC"/>
    <w:rsid w:val="00916534"/>
    <w:rsid w:val="00916F0A"/>
    <w:rsid w:val="00917746"/>
    <w:rsid w:val="0092072B"/>
    <w:rsid w:val="00920ED6"/>
    <w:rsid w:val="0092187F"/>
    <w:rsid w:val="00922085"/>
    <w:rsid w:val="00923C78"/>
    <w:rsid w:val="00923E89"/>
    <w:rsid w:val="009249CA"/>
    <w:rsid w:val="00925166"/>
    <w:rsid w:val="009260D8"/>
    <w:rsid w:val="009267DD"/>
    <w:rsid w:val="00927941"/>
    <w:rsid w:val="00930B7A"/>
    <w:rsid w:val="00932564"/>
    <w:rsid w:val="00933560"/>
    <w:rsid w:val="009340CF"/>
    <w:rsid w:val="009351A7"/>
    <w:rsid w:val="00936F60"/>
    <w:rsid w:val="009372DD"/>
    <w:rsid w:val="0093763E"/>
    <w:rsid w:val="00937C9C"/>
    <w:rsid w:val="009402C6"/>
    <w:rsid w:val="009404B0"/>
    <w:rsid w:val="00940FC6"/>
    <w:rsid w:val="0094116D"/>
    <w:rsid w:val="00942056"/>
    <w:rsid w:val="00943253"/>
    <w:rsid w:val="0094398A"/>
    <w:rsid w:val="00943B2B"/>
    <w:rsid w:val="00943E9F"/>
    <w:rsid w:val="00945942"/>
    <w:rsid w:val="0094778E"/>
    <w:rsid w:val="00947DDF"/>
    <w:rsid w:val="00950E62"/>
    <w:rsid w:val="0095231C"/>
    <w:rsid w:val="009525F8"/>
    <w:rsid w:val="009528C9"/>
    <w:rsid w:val="00953022"/>
    <w:rsid w:val="00953577"/>
    <w:rsid w:val="00953F6F"/>
    <w:rsid w:val="00955243"/>
    <w:rsid w:val="009578FB"/>
    <w:rsid w:val="00957962"/>
    <w:rsid w:val="00957A35"/>
    <w:rsid w:val="00957AAB"/>
    <w:rsid w:val="00960412"/>
    <w:rsid w:val="0096049E"/>
    <w:rsid w:val="009618CF"/>
    <w:rsid w:val="00961BFA"/>
    <w:rsid w:val="00962546"/>
    <w:rsid w:val="00963586"/>
    <w:rsid w:val="009653BA"/>
    <w:rsid w:val="009662F7"/>
    <w:rsid w:val="00966889"/>
    <w:rsid w:val="00966CF2"/>
    <w:rsid w:val="00967F23"/>
    <w:rsid w:val="00970D15"/>
    <w:rsid w:val="00971D41"/>
    <w:rsid w:val="00971F31"/>
    <w:rsid w:val="00972238"/>
    <w:rsid w:val="00972C8F"/>
    <w:rsid w:val="009730A7"/>
    <w:rsid w:val="0097387D"/>
    <w:rsid w:val="00973C81"/>
    <w:rsid w:val="00973DB9"/>
    <w:rsid w:val="00974739"/>
    <w:rsid w:val="00974E0F"/>
    <w:rsid w:val="009755C5"/>
    <w:rsid w:val="0098161A"/>
    <w:rsid w:val="00981A40"/>
    <w:rsid w:val="00983E94"/>
    <w:rsid w:val="009843A3"/>
    <w:rsid w:val="009861E0"/>
    <w:rsid w:val="00986457"/>
    <w:rsid w:val="009866A6"/>
    <w:rsid w:val="00987484"/>
    <w:rsid w:val="009908DA"/>
    <w:rsid w:val="00991489"/>
    <w:rsid w:val="00992534"/>
    <w:rsid w:val="009937D3"/>
    <w:rsid w:val="0099445C"/>
    <w:rsid w:val="00994851"/>
    <w:rsid w:val="009948A8"/>
    <w:rsid w:val="00994CE6"/>
    <w:rsid w:val="00995595"/>
    <w:rsid w:val="0099587B"/>
    <w:rsid w:val="0099643C"/>
    <w:rsid w:val="00996CA6"/>
    <w:rsid w:val="00997624"/>
    <w:rsid w:val="009A2062"/>
    <w:rsid w:val="009A269E"/>
    <w:rsid w:val="009A4351"/>
    <w:rsid w:val="009A5A85"/>
    <w:rsid w:val="009A60B5"/>
    <w:rsid w:val="009A7D5B"/>
    <w:rsid w:val="009A7DBC"/>
    <w:rsid w:val="009B1521"/>
    <w:rsid w:val="009B1958"/>
    <w:rsid w:val="009B2644"/>
    <w:rsid w:val="009B2B14"/>
    <w:rsid w:val="009B36C8"/>
    <w:rsid w:val="009B49DF"/>
    <w:rsid w:val="009B4D4C"/>
    <w:rsid w:val="009B6954"/>
    <w:rsid w:val="009C0106"/>
    <w:rsid w:val="009C1060"/>
    <w:rsid w:val="009C30CF"/>
    <w:rsid w:val="009C38F9"/>
    <w:rsid w:val="009C3E07"/>
    <w:rsid w:val="009C5672"/>
    <w:rsid w:val="009C628B"/>
    <w:rsid w:val="009C711F"/>
    <w:rsid w:val="009D030F"/>
    <w:rsid w:val="009D08CE"/>
    <w:rsid w:val="009D131A"/>
    <w:rsid w:val="009D1AFC"/>
    <w:rsid w:val="009D2275"/>
    <w:rsid w:val="009D2B4B"/>
    <w:rsid w:val="009D3794"/>
    <w:rsid w:val="009D3EC3"/>
    <w:rsid w:val="009D4065"/>
    <w:rsid w:val="009D46AA"/>
    <w:rsid w:val="009D489E"/>
    <w:rsid w:val="009D4A48"/>
    <w:rsid w:val="009D4B84"/>
    <w:rsid w:val="009D4E41"/>
    <w:rsid w:val="009D5849"/>
    <w:rsid w:val="009D58F8"/>
    <w:rsid w:val="009D657B"/>
    <w:rsid w:val="009E0631"/>
    <w:rsid w:val="009E2207"/>
    <w:rsid w:val="009E2681"/>
    <w:rsid w:val="009E3387"/>
    <w:rsid w:val="009E33DE"/>
    <w:rsid w:val="009E42DF"/>
    <w:rsid w:val="009E5893"/>
    <w:rsid w:val="009E58F4"/>
    <w:rsid w:val="009E7B3F"/>
    <w:rsid w:val="009E7D7E"/>
    <w:rsid w:val="009F1E2A"/>
    <w:rsid w:val="009F2A83"/>
    <w:rsid w:val="009F3FA8"/>
    <w:rsid w:val="009F4875"/>
    <w:rsid w:val="009F4A76"/>
    <w:rsid w:val="009F5429"/>
    <w:rsid w:val="009F7C4F"/>
    <w:rsid w:val="00A01E0B"/>
    <w:rsid w:val="00A02429"/>
    <w:rsid w:val="00A03DE8"/>
    <w:rsid w:val="00A06344"/>
    <w:rsid w:val="00A07497"/>
    <w:rsid w:val="00A108F0"/>
    <w:rsid w:val="00A11044"/>
    <w:rsid w:val="00A1134E"/>
    <w:rsid w:val="00A11B48"/>
    <w:rsid w:val="00A126B8"/>
    <w:rsid w:val="00A12E6E"/>
    <w:rsid w:val="00A12F7D"/>
    <w:rsid w:val="00A14599"/>
    <w:rsid w:val="00A14CD6"/>
    <w:rsid w:val="00A159ED"/>
    <w:rsid w:val="00A16439"/>
    <w:rsid w:val="00A242B9"/>
    <w:rsid w:val="00A242DC"/>
    <w:rsid w:val="00A24596"/>
    <w:rsid w:val="00A246E8"/>
    <w:rsid w:val="00A25EC4"/>
    <w:rsid w:val="00A26036"/>
    <w:rsid w:val="00A268A0"/>
    <w:rsid w:val="00A305F6"/>
    <w:rsid w:val="00A30DFB"/>
    <w:rsid w:val="00A31A78"/>
    <w:rsid w:val="00A32934"/>
    <w:rsid w:val="00A3293A"/>
    <w:rsid w:val="00A32F36"/>
    <w:rsid w:val="00A336B6"/>
    <w:rsid w:val="00A34493"/>
    <w:rsid w:val="00A34884"/>
    <w:rsid w:val="00A3587D"/>
    <w:rsid w:val="00A409CE"/>
    <w:rsid w:val="00A40A5D"/>
    <w:rsid w:val="00A41CD9"/>
    <w:rsid w:val="00A41CEA"/>
    <w:rsid w:val="00A4248F"/>
    <w:rsid w:val="00A4287C"/>
    <w:rsid w:val="00A433E0"/>
    <w:rsid w:val="00A43426"/>
    <w:rsid w:val="00A44621"/>
    <w:rsid w:val="00A45441"/>
    <w:rsid w:val="00A454B6"/>
    <w:rsid w:val="00A468A6"/>
    <w:rsid w:val="00A5017F"/>
    <w:rsid w:val="00A50328"/>
    <w:rsid w:val="00A538DD"/>
    <w:rsid w:val="00A53A35"/>
    <w:rsid w:val="00A53A47"/>
    <w:rsid w:val="00A5426F"/>
    <w:rsid w:val="00A544AF"/>
    <w:rsid w:val="00A549BE"/>
    <w:rsid w:val="00A54D53"/>
    <w:rsid w:val="00A554B2"/>
    <w:rsid w:val="00A568A7"/>
    <w:rsid w:val="00A5772F"/>
    <w:rsid w:val="00A57A09"/>
    <w:rsid w:val="00A57B24"/>
    <w:rsid w:val="00A614D2"/>
    <w:rsid w:val="00A61C17"/>
    <w:rsid w:val="00A62999"/>
    <w:rsid w:val="00A63B42"/>
    <w:rsid w:val="00A63CE7"/>
    <w:rsid w:val="00A643AB"/>
    <w:rsid w:val="00A6446B"/>
    <w:rsid w:val="00A65F46"/>
    <w:rsid w:val="00A66657"/>
    <w:rsid w:val="00A702F3"/>
    <w:rsid w:val="00A70B1B"/>
    <w:rsid w:val="00A71219"/>
    <w:rsid w:val="00A71761"/>
    <w:rsid w:val="00A71F14"/>
    <w:rsid w:val="00A72414"/>
    <w:rsid w:val="00A72E9B"/>
    <w:rsid w:val="00A73486"/>
    <w:rsid w:val="00A738A6"/>
    <w:rsid w:val="00A73BA1"/>
    <w:rsid w:val="00A75147"/>
    <w:rsid w:val="00A76C76"/>
    <w:rsid w:val="00A77AA2"/>
    <w:rsid w:val="00A80214"/>
    <w:rsid w:val="00A80696"/>
    <w:rsid w:val="00A81D3D"/>
    <w:rsid w:val="00A82709"/>
    <w:rsid w:val="00A84691"/>
    <w:rsid w:val="00A8470D"/>
    <w:rsid w:val="00A85433"/>
    <w:rsid w:val="00A85461"/>
    <w:rsid w:val="00A85CE5"/>
    <w:rsid w:val="00A87A98"/>
    <w:rsid w:val="00A90B3D"/>
    <w:rsid w:val="00A92560"/>
    <w:rsid w:val="00A929FF"/>
    <w:rsid w:val="00A93300"/>
    <w:rsid w:val="00A93922"/>
    <w:rsid w:val="00A93D77"/>
    <w:rsid w:val="00A943E6"/>
    <w:rsid w:val="00A9563C"/>
    <w:rsid w:val="00A95749"/>
    <w:rsid w:val="00A9577B"/>
    <w:rsid w:val="00A964CA"/>
    <w:rsid w:val="00A96932"/>
    <w:rsid w:val="00A96A46"/>
    <w:rsid w:val="00A96AEF"/>
    <w:rsid w:val="00AA1513"/>
    <w:rsid w:val="00AA195E"/>
    <w:rsid w:val="00AA20F0"/>
    <w:rsid w:val="00AA2B4D"/>
    <w:rsid w:val="00AA330E"/>
    <w:rsid w:val="00AA4266"/>
    <w:rsid w:val="00AA4630"/>
    <w:rsid w:val="00AA60E4"/>
    <w:rsid w:val="00AA747D"/>
    <w:rsid w:val="00AB31E6"/>
    <w:rsid w:val="00AB3A71"/>
    <w:rsid w:val="00AB40BE"/>
    <w:rsid w:val="00AB448E"/>
    <w:rsid w:val="00AB5723"/>
    <w:rsid w:val="00AB683D"/>
    <w:rsid w:val="00AB7F0C"/>
    <w:rsid w:val="00AC1400"/>
    <w:rsid w:val="00AC2490"/>
    <w:rsid w:val="00AC321D"/>
    <w:rsid w:val="00AC3C6C"/>
    <w:rsid w:val="00AC4956"/>
    <w:rsid w:val="00AC5365"/>
    <w:rsid w:val="00AC565C"/>
    <w:rsid w:val="00AC5CED"/>
    <w:rsid w:val="00AC70CE"/>
    <w:rsid w:val="00AC776D"/>
    <w:rsid w:val="00AC7888"/>
    <w:rsid w:val="00AD130A"/>
    <w:rsid w:val="00AD1384"/>
    <w:rsid w:val="00AD2F27"/>
    <w:rsid w:val="00AD37AA"/>
    <w:rsid w:val="00AD3D3B"/>
    <w:rsid w:val="00AD4515"/>
    <w:rsid w:val="00AD4C63"/>
    <w:rsid w:val="00AD4E80"/>
    <w:rsid w:val="00AD4EA8"/>
    <w:rsid w:val="00AD5C76"/>
    <w:rsid w:val="00AD70B5"/>
    <w:rsid w:val="00AE0E28"/>
    <w:rsid w:val="00AE2D23"/>
    <w:rsid w:val="00AE333C"/>
    <w:rsid w:val="00AE3CC9"/>
    <w:rsid w:val="00AE4EEC"/>
    <w:rsid w:val="00AE50C1"/>
    <w:rsid w:val="00AE5275"/>
    <w:rsid w:val="00AE5A11"/>
    <w:rsid w:val="00AE649D"/>
    <w:rsid w:val="00AE6627"/>
    <w:rsid w:val="00AE69FD"/>
    <w:rsid w:val="00AE6F73"/>
    <w:rsid w:val="00AF01A0"/>
    <w:rsid w:val="00AF054A"/>
    <w:rsid w:val="00AF16AB"/>
    <w:rsid w:val="00AF22D9"/>
    <w:rsid w:val="00AF2EE1"/>
    <w:rsid w:val="00AF37F7"/>
    <w:rsid w:val="00AF4567"/>
    <w:rsid w:val="00AF5531"/>
    <w:rsid w:val="00AF579A"/>
    <w:rsid w:val="00AF6914"/>
    <w:rsid w:val="00AF7ADD"/>
    <w:rsid w:val="00B00553"/>
    <w:rsid w:val="00B0072F"/>
    <w:rsid w:val="00B016E0"/>
    <w:rsid w:val="00B028AC"/>
    <w:rsid w:val="00B02EB7"/>
    <w:rsid w:val="00B038DD"/>
    <w:rsid w:val="00B04A37"/>
    <w:rsid w:val="00B05B91"/>
    <w:rsid w:val="00B06580"/>
    <w:rsid w:val="00B06E62"/>
    <w:rsid w:val="00B07CD8"/>
    <w:rsid w:val="00B07F1F"/>
    <w:rsid w:val="00B11752"/>
    <w:rsid w:val="00B117E0"/>
    <w:rsid w:val="00B119A8"/>
    <w:rsid w:val="00B132A2"/>
    <w:rsid w:val="00B137B3"/>
    <w:rsid w:val="00B15A4E"/>
    <w:rsid w:val="00B15A73"/>
    <w:rsid w:val="00B16285"/>
    <w:rsid w:val="00B1652C"/>
    <w:rsid w:val="00B16CCA"/>
    <w:rsid w:val="00B17405"/>
    <w:rsid w:val="00B17B8D"/>
    <w:rsid w:val="00B20426"/>
    <w:rsid w:val="00B21D80"/>
    <w:rsid w:val="00B223CE"/>
    <w:rsid w:val="00B22E27"/>
    <w:rsid w:val="00B238E2"/>
    <w:rsid w:val="00B24CB4"/>
    <w:rsid w:val="00B25470"/>
    <w:rsid w:val="00B27A98"/>
    <w:rsid w:val="00B27D72"/>
    <w:rsid w:val="00B302A3"/>
    <w:rsid w:val="00B307AF"/>
    <w:rsid w:val="00B30B93"/>
    <w:rsid w:val="00B3200A"/>
    <w:rsid w:val="00B329DD"/>
    <w:rsid w:val="00B33AC7"/>
    <w:rsid w:val="00B33F8F"/>
    <w:rsid w:val="00B33FAB"/>
    <w:rsid w:val="00B361D5"/>
    <w:rsid w:val="00B36C70"/>
    <w:rsid w:val="00B40419"/>
    <w:rsid w:val="00B40B62"/>
    <w:rsid w:val="00B410D1"/>
    <w:rsid w:val="00B42036"/>
    <w:rsid w:val="00B42195"/>
    <w:rsid w:val="00B4226C"/>
    <w:rsid w:val="00B4275F"/>
    <w:rsid w:val="00B438CD"/>
    <w:rsid w:val="00B44090"/>
    <w:rsid w:val="00B47341"/>
    <w:rsid w:val="00B50250"/>
    <w:rsid w:val="00B50C9B"/>
    <w:rsid w:val="00B516A3"/>
    <w:rsid w:val="00B51BB8"/>
    <w:rsid w:val="00B51C6F"/>
    <w:rsid w:val="00B5212D"/>
    <w:rsid w:val="00B54C1D"/>
    <w:rsid w:val="00B56476"/>
    <w:rsid w:val="00B6113B"/>
    <w:rsid w:val="00B65109"/>
    <w:rsid w:val="00B652D4"/>
    <w:rsid w:val="00B65816"/>
    <w:rsid w:val="00B65C2D"/>
    <w:rsid w:val="00B700AA"/>
    <w:rsid w:val="00B703E1"/>
    <w:rsid w:val="00B72202"/>
    <w:rsid w:val="00B72A1D"/>
    <w:rsid w:val="00B735B2"/>
    <w:rsid w:val="00B74786"/>
    <w:rsid w:val="00B74AB9"/>
    <w:rsid w:val="00B7703F"/>
    <w:rsid w:val="00B77503"/>
    <w:rsid w:val="00B77DA1"/>
    <w:rsid w:val="00B8008B"/>
    <w:rsid w:val="00B802DA"/>
    <w:rsid w:val="00B80423"/>
    <w:rsid w:val="00B80711"/>
    <w:rsid w:val="00B80EAA"/>
    <w:rsid w:val="00B8159D"/>
    <w:rsid w:val="00B81740"/>
    <w:rsid w:val="00B8182B"/>
    <w:rsid w:val="00B82B8E"/>
    <w:rsid w:val="00B82C42"/>
    <w:rsid w:val="00B82D4D"/>
    <w:rsid w:val="00B83240"/>
    <w:rsid w:val="00B83E93"/>
    <w:rsid w:val="00B846A8"/>
    <w:rsid w:val="00B86066"/>
    <w:rsid w:val="00B86452"/>
    <w:rsid w:val="00B86C0D"/>
    <w:rsid w:val="00B86DB4"/>
    <w:rsid w:val="00B879D8"/>
    <w:rsid w:val="00B87BC9"/>
    <w:rsid w:val="00B90812"/>
    <w:rsid w:val="00B909FE"/>
    <w:rsid w:val="00B941A6"/>
    <w:rsid w:val="00B95ECC"/>
    <w:rsid w:val="00B964D2"/>
    <w:rsid w:val="00BA0B32"/>
    <w:rsid w:val="00BA0CB5"/>
    <w:rsid w:val="00BA0E90"/>
    <w:rsid w:val="00BA1074"/>
    <w:rsid w:val="00BA364D"/>
    <w:rsid w:val="00BA3D97"/>
    <w:rsid w:val="00BA4E5F"/>
    <w:rsid w:val="00BA5527"/>
    <w:rsid w:val="00BA5B1A"/>
    <w:rsid w:val="00BA6469"/>
    <w:rsid w:val="00BA674A"/>
    <w:rsid w:val="00BA68D3"/>
    <w:rsid w:val="00BA6FD4"/>
    <w:rsid w:val="00BA74DB"/>
    <w:rsid w:val="00BA7DCC"/>
    <w:rsid w:val="00BA7F4A"/>
    <w:rsid w:val="00BB0133"/>
    <w:rsid w:val="00BB0AD0"/>
    <w:rsid w:val="00BB2C4F"/>
    <w:rsid w:val="00BB4175"/>
    <w:rsid w:val="00BB4CD2"/>
    <w:rsid w:val="00BB59E1"/>
    <w:rsid w:val="00BB5A46"/>
    <w:rsid w:val="00BB5C1A"/>
    <w:rsid w:val="00BC04A2"/>
    <w:rsid w:val="00BC0B3A"/>
    <w:rsid w:val="00BC1890"/>
    <w:rsid w:val="00BC29A6"/>
    <w:rsid w:val="00BC3C9A"/>
    <w:rsid w:val="00BC3DF2"/>
    <w:rsid w:val="00BC4D9F"/>
    <w:rsid w:val="00BC534D"/>
    <w:rsid w:val="00BC5F8A"/>
    <w:rsid w:val="00BC6017"/>
    <w:rsid w:val="00BC725F"/>
    <w:rsid w:val="00BD0A9B"/>
    <w:rsid w:val="00BD1EE5"/>
    <w:rsid w:val="00BD21D3"/>
    <w:rsid w:val="00BD258F"/>
    <w:rsid w:val="00BD25C4"/>
    <w:rsid w:val="00BD36A8"/>
    <w:rsid w:val="00BD411D"/>
    <w:rsid w:val="00BD4236"/>
    <w:rsid w:val="00BD489E"/>
    <w:rsid w:val="00BD4BCA"/>
    <w:rsid w:val="00BD52C2"/>
    <w:rsid w:val="00BD5332"/>
    <w:rsid w:val="00BD54BB"/>
    <w:rsid w:val="00BD628D"/>
    <w:rsid w:val="00BE0607"/>
    <w:rsid w:val="00BE0ED8"/>
    <w:rsid w:val="00BE29DD"/>
    <w:rsid w:val="00BE2EA1"/>
    <w:rsid w:val="00BE32A5"/>
    <w:rsid w:val="00BE488B"/>
    <w:rsid w:val="00BE4F0A"/>
    <w:rsid w:val="00BE531C"/>
    <w:rsid w:val="00BE5A7B"/>
    <w:rsid w:val="00BE5AF5"/>
    <w:rsid w:val="00BF22ED"/>
    <w:rsid w:val="00BF3BBC"/>
    <w:rsid w:val="00BF3F5F"/>
    <w:rsid w:val="00BF3F72"/>
    <w:rsid w:val="00BF4AB0"/>
    <w:rsid w:val="00BF542D"/>
    <w:rsid w:val="00BF6774"/>
    <w:rsid w:val="00BF6962"/>
    <w:rsid w:val="00BF6B8A"/>
    <w:rsid w:val="00BF72CE"/>
    <w:rsid w:val="00C00909"/>
    <w:rsid w:val="00C01152"/>
    <w:rsid w:val="00C02A85"/>
    <w:rsid w:val="00C03B2E"/>
    <w:rsid w:val="00C042D0"/>
    <w:rsid w:val="00C053EA"/>
    <w:rsid w:val="00C06529"/>
    <w:rsid w:val="00C07318"/>
    <w:rsid w:val="00C07623"/>
    <w:rsid w:val="00C0775B"/>
    <w:rsid w:val="00C07C02"/>
    <w:rsid w:val="00C11699"/>
    <w:rsid w:val="00C11B86"/>
    <w:rsid w:val="00C12339"/>
    <w:rsid w:val="00C125FF"/>
    <w:rsid w:val="00C1319F"/>
    <w:rsid w:val="00C13324"/>
    <w:rsid w:val="00C13D93"/>
    <w:rsid w:val="00C140B9"/>
    <w:rsid w:val="00C142F9"/>
    <w:rsid w:val="00C1477A"/>
    <w:rsid w:val="00C15591"/>
    <w:rsid w:val="00C156B9"/>
    <w:rsid w:val="00C15BCE"/>
    <w:rsid w:val="00C15CC9"/>
    <w:rsid w:val="00C1650D"/>
    <w:rsid w:val="00C1728E"/>
    <w:rsid w:val="00C21987"/>
    <w:rsid w:val="00C23291"/>
    <w:rsid w:val="00C24C10"/>
    <w:rsid w:val="00C250A9"/>
    <w:rsid w:val="00C25F66"/>
    <w:rsid w:val="00C269A6"/>
    <w:rsid w:val="00C27BE4"/>
    <w:rsid w:val="00C30099"/>
    <w:rsid w:val="00C3233A"/>
    <w:rsid w:val="00C32894"/>
    <w:rsid w:val="00C32A53"/>
    <w:rsid w:val="00C32CE5"/>
    <w:rsid w:val="00C3331C"/>
    <w:rsid w:val="00C339FD"/>
    <w:rsid w:val="00C34F75"/>
    <w:rsid w:val="00C358A8"/>
    <w:rsid w:val="00C35931"/>
    <w:rsid w:val="00C361AF"/>
    <w:rsid w:val="00C36505"/>
    <w:rsid w:val="00C369C2"/>
    <w:rsid w:val="00C410BC"/>
    <w:rsid w:val="00C41A33"/>
    <w:rsid w:val="00C43530"/>
    <w:rsid w:val="00C4367F"/>
    <w:rsid w:val="00C43F34"/>
    <w:rsid w:val="00C4465E"/>
    <w:rsid w:val="00C47A2B"/>
    <w:rsid w:val="00C50757"/>
    <w:rsid w:val="00C5129E"/>
    <w:rsid w:val="00C51992"/>
    <w:rsid w:val="00C5224D"/>
    <w:rsid w:val="00C529A7"/>
    <w:rsid w:val="00C55DF7"/>
    <w:rsid w:val="00C55E03"/>
    <w:rsid w:val="00C561A7"/>
    <w:rsid w:val="00C56333"/>
    <w:rsid w:val="00C56CD7"/>
    <w:rsid w:val="00C56D40"/>
    <w:rsid w:val="00C57ADF"/>
    <w:rsid w:val="00C57D91"/>
    <w:rsid w:val="00C57E0B"/>
    <w:rsid w:val="00C6108C"/>
    <w:rsid w:val="00C62DA6"/>
    <w:rsid w:val="00C63757"/>
    <w:rsid w:val="00C63A81"/>
    <w:rsid w:val="00C64C18"/>
    <w:rsid w:val="00C66102"/>
    <w:rsid w:val="00C66F88"/>
    <w:rsid w:val="00C67ECF"/>
    <w:rsid w:val="00C7434D"/>
    <w:rsid w:val="00C74AAB"/>
    <w:rsid w:val="00C75370"/>
    <w:rsid w:val="00C75A2A"/>
    <w:rsid w:val="00C75A81"/>
    <w:rsid w:val="00C7644D"/>
    <w:rsid w:val="00C769A4"/>
    <w:rsid w:val="00C808F7"/>
    <w:rsid w:val="00C8097E"/>
    <w:rsid w:val="00C812C3"/>
    <w:rsid w:val="00C8191F"/>
    <w:rsid w:val="00C81947"/>
    <w:rsid w:val="00C827B2"/>
    <w:rsid w:val="00C8399D"/>
    <w:rsid w:val="00C84162"/>
    <w:rsid w:val="00C84FE1"/>
    <w:rsid w:val="00C8523B"/>
    <w:rsid w:val="00C8613B"/>
    <w:rsid w:val="00C866A0"/>
    <w:rsid w:val="00C87118"/>
    <w:rsid w:val="00C87532"/>
    <w:rsid w:val="00C91081"/>
    <w:rsid w:val="00C910C1"/>
    <w:rsid w:val="00C9252C"/>
    <w:rsid w:val="00C93313"/>
    <w:rsid w:val="00C93CA8"/>
    <w:rsid w:val="00C941C9"/>
    <w:rsid w:val="00C97045"/>
    <w:rsid w:val="00C97BC0"/>
    <w:rsid w:val="00CA1F1A"/>
    <w:rsid w:val="00CA23DF"/>
    <w:rsid w:val="00CA24C5"/>
    <w:rsid w:val="00CA4564"/>
    <w:rsid w:val="00CA5110"/>
    <w:rsid w:val="00CA59C8"/>
    <w:rsid w:val="00CA5C9F"/>
    <w:rsid w:val="00CA5D22"/>
    <w:rsid w:val="00CA671D"/>
    <w:rsid w:val="00CA6FDC"/>
    <w:rsid w:val="00CA7333"/>
    <w:rsid w:val="00CB0028"/>
    <w:rsid w:val="00CB0089"/>
    <w:rsid w:val="00CB0421"/>
    <w:rsid w:val="00CB34E0"/>
    <w:rsid w:val="00CB497C"/>
    <w:rsid w:val="00CB4EFB"/>
    <w:rsid w:val="00CB4F51"/>
    <w:rsid w:val="00CB53B7"/>
    <w:rsid w:val="00CB5A33"/>
    <w:rsid w:val="00CB6361"/>
    <w:rsid w:val="00CB66D1"/>
    <w:rsid w:val="00CB6F4E"/>
    <w:rsid w:val="00CB728A"/>
    <w:rsid w:val="00CC1707"/>
    <w:rsid w:val="00CC232B"/>
    <w:rsid w:val="00CC2E7F"/>
    <w:rsid w:val="00CC2FC8"/>
    <w:rsid w:val="00CC3137"/>
    <w:rsid w:val="00CC3481"/>
    <w:rsid w:val="00CC4995"/>
    <w:rsid w:val="00CC5DF4"/>
    <w:rsid w:val="00CC5FA2"/>
    <w:rsid w:val="00CC6B1C"/>
    <w:rsid w:val="00CC7338"/>
    <w:rsid w:val="00CC7EEC"/>
    <w:rsid w:val="00CD00EF"/>
    <w:rsid w:val="00CD06F7"/>
    <w:rsid w:val="00CD078D"/>
    <w:rsid w:val="00CD1C41"/>
    <w:rsid w:val="00CD23EE"/>
    <w:rsid w:val="00CD2515"/>
    <w:rsid w:val="00CD3B12"/>
    <w:rsid w:val="00CD3D68"/>
    <w:rsid w:val="00CD59A9"/>
    <w:rsid w:val="00CD67E5"/>
    <w:rsid w:val="00CD6A8C"/>
    <w:rsid w:val="00CD79F1"/>
    <w:rsid w:val="00CD7EEF"/>
    <w:rsid w:val="00CD7FB6"/>
    <w:rsid w:val="00CE11DA"/>
    <w:rsid w:val="00CE11E4"/>
    <w:rsid w:val="00CE27D0"/>
    <w:rsid w:val="00CE4887"/>
    <w:rsid w:val="00CE576C"/>
    <w:rsid w:val="00CE6E9A"/>
    <w:rsid w:val="00CE6F38"/>
    <w:rsid w:val="00CF34CB"/>
    <w:rsid w:val="00CF34F4"/>
    <w:rsid w:val="00CF378C"/>
    <w:rsid w:val="00CF53F1"/>
    <w:rsid w:val="00CF5526"/>
    <w:rsid w:val="00CF7099"/>
    <w:rsid w:val="00CF7604"/>
    <w:rsid w:val="00CF7EC2"/>
    <w:rsid w:val="00D01055"/>
    <w:rsid w:val="00D0287B"/>
    <w:rsid w:val="00D029D9"/>
    <w:rsid w:val="00D0316C"/>
    <w:rsid w:val="00D03232"/>
    <w:rsid w:val="00D03E43"/>
    <w:rsid w:val="00D03F63"/>
    <w:rsid w:val="00D05AF2"/>
    <w:rsid w:val="00D064E3"/>
    <w:rsid w:val="00D076C2"/>
    <w:rsid w:val="00D07AB0"/>
    <w:rsid w:val="00D11CB5"/>
    <w:rsid w:val="00D14525"/>
    <w:rsid w:val="00D14FF8"/>
    <w:rsid w:val="00D157CA"/>
    <w:rsid w:val="00D16376"/>
    <w:rsid w:val="00D17181"/>
    <w:rsid w:val="00D17C90"/>
    <w:rsid w:val="00D17EAA"/>
    <w:rsid w:val="00D216A8"/>
    <w:rsid w:val="00D254AF"/>
    <w:rsid w:val="00D26B35"/>
    <w:rsid w:val="00D30A4C"/>
    <w:rsid w:val="00D30E45"/>
    <w:rsid w:val="00D31181"/>
    <w:rsid w:val="00D31249"/>
    <w:rsid w:val="00D3188C"/>
    <w:rsid w:val="00D323FB"/>
    <w:rsid w:val="00D34EC9"/>
    <w:rsid w:val="00D34FD4"/>
    <w:rsid w:val="00D350CB"/>
    <w:rsid w:val="00D35EF0"/>
    <w:rsid w:val="00D35F58"/>
    <w:rsid w:val="00D36324"/>
    <w:rsid w:val="00D368DC"/>
    <w:rsid w:val="00D373EC"/>
    <w:rsid w:val="00D377A7"/>
    <w:rsid w:val="00D379B8"/>
    <w:rsid w:val="00D4050E"/>
    <w:rsid w:val="00D41BB2"/>
    <w:rsid w:val="00D4206E"/>
    <w:rsid w:val="00D42A35"/>
    <w:rsid w:val="00D4324A"/>
    <w:rsid w:val="00D44BB4"/>
    <w:rsid w:val="00D452E0"/>
    <w:rsid w:val="00D4545D"/>
    <w:rsid w:val="00D45C7C"/>
    <w:rsid w:val="00D46A3C"/>
    <w:rsid w:val="00D5185F"/>
    <w:rsid w:val="00D52AA0"/>
    <w:rsid w:val="00D5345D"/>
    <w:rsid w:val="00D53EDE"/>
    <w:rsid w:val="00D55C60"/>
    <w:rsid w:val="00D570D0"/>
    <w:rsid w:val="00D578F9"/>
    <w:rsid w:val="00D606A2"/>
    <w:rsid w:val="00D615FF"/>
    <w:rsid w:val="00D62139"/>
    <w:rsid w:val="00D64733"/>
    <w:rsid w:val="00D649DB"/>
    <w:rsid w:val="00D6517A"/>
    <w:rsid w:val="00D6527D"/>
    <w:rsid w:val="00D65808"/>
    <w:rsid w:val="00D658E0"/>
    <w:rsid w:val="00D6655E"/>
    <w:rsid w:val="00D66948"/>
    <w:rsid w:val="00D6753B"/>
    <w:rsid w:val="00D677E6"/>
    <w:rsid w:val="00D67BC6"/>
    <w:rsid w:val="00D715D4"/>
    <w:rsid w:val="00D71B7B"/>
    <w:rsid w:val="00D73448"/>
    <w:rsid w:val="00D735A4"/>
    <w:rsid w:val="00D73A17"/>
    <w:rsid w:val="00D73A30"/>
    <w:rsid w:val="00D73EFE"/>
    <w:rsid w:val="00D752D5"/>
    <w:rsid w:val="00D7676E"/>
    <w:rsid w:val="00D779E8"/>
    <w:rsid w:val="00D77AFE"/>
    <w:rsid w:val="00D801BB"/>
    <w:rsid w:val="00D80784"/>
    <w:rsid w:val="00D81867"/>
    <w:rsid w:val="00D82869"/>
    <w:rsid w:val="00D85379"/>
    <w:rsid w:val="00D87D06"/>
    <w:rsid w:val="00D9049A"/>
    <w:rsid w:val="00D90A16"/>
    <w:rsid w:val="00D91176"/>
    <w:rsid w:val="00D93067"/>
    <w:rsid w:val="00D9319D"/>
    <w:rsid w:val="00D941FE"/>
    <w:rsid w:val="00D96D3A"/>
    <w:rsid w:val="00D971EF"/>
    <w:rsid w:val="00DA00ED"/>
    <w:rsid w:val="00DA0760"/>
    <w:rsid w:val="00DA0AAB"/>
    <w:rsid w:val="00DA0BFE"/>
    <w:rsid w:val="00DA1A07"/>
    <w:rsid w:val="00DA263A"/>
    <w:rsid w:val="00DA296C"/>
    <w:rsid w:val="00DA37C5"/>
    <w:rsid w:val="00DA51E2"/>
    <w:rsid w:val="00DA55CA"/>
    <w:rsid w:val="00DA6071"/>
    <w:rsid w:val="00DB0490"/>
    <w:rsid w:val="00DB0DEF"/>
    <w:rsid w:val="00DB16EC"/>
    <w:rsid w:val="00DB17E2"/>
    <w:rsid w:val="00DB23C8"/>
    <w:rsid w:val="00DB373F"/>
    <w:rsid w:val="00DB3B93"/>
    <w:rsid w:val="00DB48A5"/>
    <w:rsid w:val="00DB55A4"/>
    <w:rsid w:val="00DB5EDE"/>
    <w:rsid w:val="00DB62BF"/>
    <w:rsid w:val="00DB6BF8"/>
    <w:rsid w:val="00DB6C04"/>
    <w:rsid w:val="00DC01A6"/>
    <w:rsid w:val="00DC28B3"/>
    <w:rsid w:val="00DC2B11"/>
    <w:rsid w:val="00DC2D93"/>
    <w:rsid w:val="00DC32B4"/>
    <w:rsid w:val="00DC50E5"/>
    <w:rsid w:val="00DC53A1"/>
    <w:rsid w:val="00DC6B04"/>
    <w:rsid w:val="00DC7154"/>
    <w:rsid w:val="00DD017A"/>
    <w:rsid w:val="00DD0475"/>
    <w:rsid w:val="00DD0922"/>
    <w:rsid w:val="00DD1F5B"/>
    <w:rsid w:val="00DD32BF"/>
    <w:rsid w:val="00DD4128"/>
    <w:rsid w:val="00DD5911"/>
    <w:rsid w:val="00DD5A52"/>
    <w:rsid w:val="00DD5B69"/>
    <w:rsid w:val="00DD6DB7"/>
    <w:rsid w:val="00DE014F"/>
    <w:rsid w:val="00DE08CE"/>
    <w:rsid w:val="00DE0BA8"/>
    <w:rsid w:val="00DE16BB"/>
    <w:rsid w:val="00DE1CAB"/>
    <w:rsid w:val="00DE241C"/>
    <w:rsid w:val="00DE26D0"/>
    <w:rsid w:val="00DE2A39"/>
    <w:rsid w:val="00DE2CC4"/>
    <w:rsid w:val="00DE3DF4"/>
    <w:rsid w:val="00DE4894"/>
    <w:rsid w:val="00DE4926"/>
    <w:rsid w:val="00DE73D2"/>
    <w:rsid w:val="00DE7B0F"/>
    <w:rsid w:val="00DE7E08"/>
    <w:rsid w:val="00DF0CAB"/>
    <w:rsid w:val="00DF16D5"/>
    <w:rsid w:val="00DF1D4F"/>
    <w:rsid w:val="00DF2C90"/>
    <w:rsid w:val="00DF43B7"/>
    <w:rsid w:val="00DF5710"/>
    <w:rsid w:val="00DF601D"/>
    <w:rsid w:val="00DF670D"/>
    <w:rsid w:val="00DF7880"/>
    <w:rsid w:val="00DF7EA7"/>
    <w:rsid w:val="00E003AA"/>
    <w:rsid w:val="00E00FF5"/>
    <w:rsid w:val="00E027C2"/>
    <w:rsid w:val="00E039C8"/>
    <w:rsid w:val="00E03A6E"/>
    <w:rsid w:val="00E04AA4"/>
    <w:rsid w:val="00E04BDD"/>
    <w:rsid w:val="00E05CC5"/>
    <w:rsid w:val="00E05DB9"/>
    <w:rsid w:val="00E067EE"/>
    <w:rsid w:val="00E0711D"/>
    <w:rsid w:val="00E07181"/>
    <w:rsid w:val="00E07356"/>
    <w:rsid w:val="00E10887"/>
    <w:rsid w:val="00E11E89"/>
    <w:rsid w:val="00E11E9A"/>
    <w:rsid w:val="00E12A5B"/>
    <w:rsid w:val="00E14EE6"/>
    <w:rsid w:val="00E17838"/>
    <w:rsid w:val="00E20143"/>
    <w:rsid w:val="00E20B67"/>
    <w:rsid w:val="00E20FC6"/>
    <w:rsid w:val="00E21E14"/>
    <w:rsid w:val="00E21FC0"/>
    <w:rsid w:val="00E2401D"/>
    <w:rsid w:val="00E241A1"/>
    <w:rsid w:val="00E247A6"/>
    <w:rsid w:val="00E2516C"/>
    <w:rsid w:val="00E256B7"/>
    <w:rsid w:val="00E27696"/>
    <w:rsid w:val="00E27EB7"/>
    <w:rsid w:val="00E30631"/>
    <w:rsid w:val="00E31BD5"/>
    <w:rsid w:val="00E31D9B"/>
    <w:rsid w:val="00E3215A"/>
    <w:rsid w:val="00E32C1A"/>
    <w:rsid w:val="00E3332E"/>
    <w:rsid w:val="00E33800"/>
    <w:rsid w:val="00E3409E"/>
    <w:rsid w:val="00E346B2"/>
    <w:rsid w:val="00E349DD"/>
    <w:rsid w:val="00E3500B"/>
    <w:rsid w:val="00E35CAE"/>
    <w:rsid w:val="00E36D7D"/>
    <w:rsid w:val="00E37A75"/>
    <w:rsid w:val="00E4077E"/>
    <w:rsid w:val="00E45701"/>
    <w:rsid w:val="00E45D5F"/>
    <w:rsid w:val="00E45F16"/>
    <w:rsid w:val="00E46B14"/>
    <w:rsid w:val="00E560BA"/>
    <w:rsid w:val="00E5613E"/>
    <w:rsid w:val="00E561EF"/>
    <w:rsid w:val="00E60513"/>
    <w:rsid w:val="00E60575"/>
    <w:rsid w:val="00E60BF9"/>
    <w:rsid w:val="00E60E9B"/>
    <w:rsid w:val="00E61513"/>
    <w:rsid w:val="00E6234E"/>
    <w:rsid w:val="00E641CF"/>
    <w:rsid w:val="00E64B7C"/>
    <w:rsid w:val="00E652CF"/>
    <w:rsid w:val="00E67845"/>
    <w:rsid w:val="00E71B99"/>
    <w:rsid w:val="00E71D63"/>
    <w:rsid w:val="00E71F9D"/>
    <w:rsid w:val="00E732A8"/>
    <w:rsid w:val="00E73F53"/>
    <w:rsid w:val="00E75643"/>
    <w:rsid w:val="00E75A34"/>
    <w:rsid w:val="00E766FC"/>
    <w:rsid w:val="00E76D91"/>
    <w:rsid w:val="00E772A6"/>
    <w:rsid w:val="00E77409"/>
    <w:rsid w:val="00E808DD"/>
    <w:rsid w:val="00E817D7"/>
    <w:rsid w:val="00E82052"/>
    <w:rsid w:val="00E83D5B"/>
    <w:rsid w:val="00E8417C"/>
    <w:rsid w:val="00E86217"/>
    <w:rsid w:val="00E90563"/>
    <w:rsid w:val="00E91C70"/>
    <w:rsid w:val="00E93564"/>
    <w:rsid w:val="00E937F6"/>
    <w:rsid w:val="00E94006"/>
    <w:rsid w:val="00E96837"/>
    <w:rsid w:val="00EA00A4"/>
    <w:rsid w:val="00EA0C29"/>
    <w:rsid w:val="00EA137B"/>
    <w:rsid w:val="00EA236A"/>
    <w:rsid w:val="00EA23CD"/>
    <w:rsid w:val="00EA3FEF"/>
    <w:rsid w:val="00EA4398"/>
    <w:rsid w:val="00EA7B0D"/>
    <w:rsid w:val="00EA7E51"/>
    <w:rsid w:val="00EA7FCA"/>
    <w:rsid w:val="00EB0437"/>
    <w:rsid w:val="00EB08A2"/>
    <w:rsid w:val="00EB0F53"/>
    <w:rsid w:val="00EB2C44"/>
    <w:rsid w:val="00EB4739"/>
    <w:rsid w:val="00EB4A8F"/>
    <w:rsid w:val="00EB6BCB"/>
    <w:rsid w:val="00EC0F4E"/>
    <w:rsid w:val="00EC1000"/>
    <w:rsid w:val="00EC1617"/>
    <w:rsid w:val="00EC1CF9"/>
    <w:rsid w:val="00EC3248"/>
    <w:rsid w:val="00EC4EC6"/>
    <w:rsid w:val="00EC5193"/>
    <w:rsid w:val="00EC54DE"/>
    <w:rsid w:val="00EC6DDC"/>
    <w:rsid w:val="00EC6EB2"/>
    <w:rsid w:val="00EC71DA"/>
    <w:rsid w:val="00EC780F"/>
    <w:rsid w:val="00ED1183"/>
    <w:rsid w:val="00ED149D"/>
    <w:rsid w:val="00ED1B9E"/>
    <w:rsid w:val="00ED20F6"/>
    <w:rsid w:val="00ED25D6"/>
    <w:rsid w:val="00ED42A6"/>
    <w:rsid w:val="00ED4FC1"/>
    <w:rsid w:val="00ED61A1"/>
    <w:rsid w:val="00ED6EDE"/>
    <w:rsid w:val="00EE2060"/>
    <w:rsid w:val="00EE22F0"/>
    <w:rsid w:val="00EE236D"/>
    <w:rsid w:val="00EE26C0"/>
    <w:rsid w:val="00EE3076"/>
    <w:rsid w:val="00EE36A7"/>
    <w:rsid w:val="00EE3FB2"/>
    <w:rsid w:val="00EE4714"/>
    <w:rsid w:val="00EE4DBB"/>
    <w:rsid w:val="00EE5D7A"/>
    <w:rsid w:val="00EE7132"/>
    <w:rsid w:val="00EF2928"/>
    <w:rsid w:val="00EF39B8"/>
    <w:rsid w:val="00EF45CC"/>
    <w:rsid w:val="00EF5212"/>
    <w:rsid w:val="00EF6546"/>
    <w:rsid w:val="00EF7DB0"/>
    <w:rsid w:val="00F01FA6"/>
    <w:rsid w:val="00F035FF"/>
    <w:rsid w:val="00F0445D"/>
    <w:rsid w:val="00F049E8"/>
    <w:rsid w:val="00F05A5E"/>
    <w:rsid w:val="00F05EBC"/>
    <w:rsid w:val="00F065EA"/>
    <w:rsid w:val="00F106E1"/>
    <w:rsid w:val="00F10A85"/>
    <w:rsid w:val="00F11614"/>
    <w:rsid w:val="00F117F5"/>
    <w:rsid w:val="00F118CC"/>
    <w:rsid w:val="00F11F30"/>
    <w:rsid w:val="00F13255"/>
    <w:rsid w:val="00F13D73"/>
    <w:rsid w:val="00F140D5"/>
    <w:rsid w:val="00F16F14"/>
    <w:rsid w:val="00F177B6"/>
    <w:rsid w:val="00F17A10"/>
    <w:rsid w:val="00F17C98"/>
    <w:rsid w:val="00F17D97"/>
    <w:rsid w:val="00F17FC6"/>
    <w:rsid w:val="00F20014"/>
    <w:rsid w:val="00F20680"/>
    <w:rsid w:val="00F22017"/>
    <w:rsid w:val="00F22787"/>
    <w:rsid w:val="00F23B9B"/>
    <w:rsid w:val="00F24C3A"/>
    <w:rsid w:val="00F258C0"/>
    <w:rsid w:val="00F259D4"/>
    <w:rsid w:val="00F25BF3"/>
    <w:rsid w:val="00F25CE3"/>
    <w:rsid w:val="00F2612B"/>
    <w:rsid w:val="00F261BD"/>
    <w:rsid w:val="00F268E3"/>
    <w:rsid w:val="00F2746A"/>
    <w:rsid w:val="00F30464"/>
    <w:rsid w:val="00F31D81"/>
    <w:rsid w:val="00F32461"/>
    <w:rsid w:val="00F32E29"/>
    <w:rsid w:val="00F346A4"/>
    <w:rsid w:val="00F34FCA"/>
    <w:rsid w:val="00F378AE"/>
    <w:rsid w:val="00F40BAB"/>
    <w:rsid w:val="00F41CB4"/>
    <w:rsid w:val="00F45B13"/>
    <w:rsid w:val="00F45C2A"/>
    <w:rsid w:val="00F46D79"/>
    <w:rsid w:val="00F46E8A"/>
    <w:rsid w:val="00F50A7E"/>
    <w:rsid w:val="00F51206"/>
    <w:rsid w:val="00F51477"/>
    <w:rsid w:val="00F5149A"/>
    <w:rsid w:val="00F5169D"/>
    <w:rsid w:val="00F51E69"/>
    <w:rsid w:val="00F52CC7"/>
    <w:rsid w:val="00F54B62"/>
    <w:rsid w:val="00F555AA"/>
    <w:rsid w:val="00F55B7C"/>
    <w:rsid w:val="00F5623F"/>
    <w:rsid w:val="00F5667B"/>
    <w:rsid w:val="00F569CC"/>
    <w:rsid w:val="00F56D67"/>
    <w:rsid w:val="00F57273"/>
    <w:rsid w:val="00F57B23"/>
    <w:rsid w:val="00F57FE9"/>
    <w:rsid w:val="00F60223"/>
    <w:rsid w:val="00F61845"/>
    <w:rsid w:val="00F625D1"/>
    <w:rsid w:val="00F633E6"/>
    <w:rsid w:val="00F6411E"/>
    <w:rsid w:val="00F64D14"/>
    <w:rsid w:val="00F64D6E"/>
    <w:rsid w:val="00F64F95"/>
    <w:rsid w:val="00F654FE"/>
    <w:rsid w:val="00F6655E"/>
    <w:rsid w:val="00F67490"/>
    <w:rsid w:val="00F70E3B"/>
    <w:rsid w:val="00F711CA"/>
    <w:rsid w:val="00F714C9"/>
    <w:rsid w:val="00F73FEB"/>
    <w:rsid w:val="00F74902"/>
    <w:rsid w:val="00F7510E"/>
    <w:rsid w:val="00F770FA"/>
    <w:rsid w:val="00F77A34"/>
    <w:rsid w:val="00F77BF7"/>
    <w:rsid w:val="00F80341"/>
    <w:rsid w:val="00F80478"/>
    <w:rsid w:val="00F8083D"/>
    <w:rsid w:val="00F844AE"/>
    <w:rsid w:val="00F852C7"/>
    <w:rsid w:val="00F85D6F"/>
    <w:rsid w:val="00F865AC"/>
    <w:rsid w:val="00F909CF"/>
    <w:rsid w:val="00F90CBB"/>
    <w:rsid w:val="00F91400"/>
    <w:rsid w:val="00F91DD2"/>
    <w:rsid w:val="00F927AB"/>
    <w:rsid w:val="00F92B4D"/>
    <w:rsid w:val="00F947CD"/>
    <w:rsid w:val="00F95A9D"/>
    <w:rsid w:val="00F9604A"/>
    <w:rsid w:val="00F97EE3"/>
    <w:rsid w:val="00F97FAE"/>
    <w:rsid w:val="00FA016C"/>
    <w:rsid w:val="00FA0601"/>
    <w:rsid w:val="00FA1697"/>
    <w:rsid w:val="00FA23C8"/>
    <w:rsid w:val="00FA26F3"/>
    <w:rsid w:val="00FA2DFE"/>
    <w:rsid w:val="00FA3116"/>
    <w:rsid w:val="00FA540E"/>
    <w:rsid w:val="00FA650F"/>
    <w:rsid w:val="00FA67FF"/>
    <w:rsid w:val="00FB10AA"/>
    <w:rsid w:val="00FB2F69"/>
    <w:rsid w:val="00FB5A2F"/>
    <w:rsid w:val="00FB700F"/>
    <w:rsid w:val="00FC0037"/>
    <w:rsid w:val="00FC29FE"/>
    <w:rsid w:val="00FC46A1"/>
    <w:rsid w:val="00FC4D94"/>
    <w:rsid w:val="00FC5CF2"/>
    <w:rsid w:val="00FC5D95"/>
    <w:rsid w:val="00FC61BA"/>
    <w:rsid w:val="00FC61EC"/>
    <w:rsid w:val="00FC6730"/>
    <w:rsid w:val="00FC69F0"/>
    <w:rsid w:val="00FC7922"/>
    <w:rsid w:val="00FC795F"/>
    <w:rsid w:val="00FD02B0"/>
    <w:rsid w:val="00FD061F"/>
    <w:rsid w:val="00FD0C19"/>
    <w:rsid w:val="00FD0E6D"/>
    <w:rsid w:val="00FD0EB8"/>
    <w:rsid w:val="00FD2970"/>
    <w:rsid w:val="00FD2B1A"/>
    <w:rsid w:val="00FD2E17"/>
    <w:rsid w:val="00FD2F17"/>
    <w:rsid w:val="00FD3343"/>
    <w:rsid w:val="00FD336F"/>
    <w:rsid w:val="00FD4278"/>
    <w:rsid w:val="00FD4A24"/>
    <w:rsid w:val="00FD4C9A"/>
    <w:rsid w:val="00FD4F75"/>
    <w:rsid w:val="00FD53F9"/>
    <w:rsid w:val="00FD6E6B"/>
    <w:rsid w:val="00FD7235"/>
    <w:rsid w:val="00FD7560"/>
    <w:rsid w:val="00FD7A43"/>
    <w:rsid w:val="00FE0D17"/>
    <w:rsid w:val="00FE1A5E"/>
    <w:rsid w:val="00FE1DB5"/>
    <w:rsid w:val="00FE2FD9"/>
    <w:rsid w:val="00FE308D"/>
    <w:rsid w:val="00FE3903"/>
    <w:rsid w:val="00FE3F99"/>
    <w:rsid w:val="00FE52F3"/>
    <w:rsid w:val="00FE5443"/>
    <w:rsid w:val="00FE6444"/>
    <w:rsid w:val="00FE6F8B"/>
    <w:rsid w:val="00FF0B1D"/>
    <w:rsid w:val="00FF23DB"/>
    <w:rsid w:val="00FF34A8"/>
    <w:rsid w:val="00FF41DF"/>
    <w:rsid w:val="00FF580E"/>
    <w:rsid w:val="00FF5886"/>
    <w:rsid w:val="00FF5D70"/>
    <w:rsid w:val="00FF647B"/>
    <w:rsid w:val="00FF7C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4AA3F"/>
  <w15:chartTrackingRefBased/>
  <w15:docId w15:val="{9DB9722A-FC6B-4EAD-86F5-48FDD81D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B23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714C8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3">
    <w:name w:val="heading 3"/>
    <w:basedOn w:val="a"/>
    <w:next w:val="a"/>
    <w:link w:val="3Char"/>
    <w:uiPriority w:val="9"/>
    <w:semiHidden/>
    <w:unhideWhenUsed/>
    <w:qFormat/>
    <w:rsid w:val="000E4DC2"/>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172F"/>
    <w:pPr>
      <w:tabs>
        <w:tab w:val="center" w:pos="4680"/>
        <w:tab w:val="right" w:pos="9360"/>
      </w:tabs>
    </w:pPr>
  </w:style>
  <w:style w:type="character" w:customStyle="1" w:styleId="Char">
    <w:name w:val="Κεφαλίδα Char"/>
    <w:basedOn w:val="a0"/>
    <w:link w:val="a3"/>
    <w:uiPriority w:val="99"/>
    <w:rsid w:val="0054172F"/>
  </w:style>
  <w:style w:type="paragraph" w:styleId="a4">
    <w:name w:val="footer"/>
    <w:basedOn w:val="a"/>
    <w:link w:val="Char0"/>
    <w:uiPriority w:val="99"/>
    <w:unhideWhenUsed/>
    <w:rsid w:val="0054172F"/>
    <w:pPr>
      <w:tabs>
        <w:tab w:val="center" w:pos="4680"/>
        <w:tab w:val="right" w:pos="9360"/>
      </w:tabs>
    </w:pPr>
  </w:style>
  <w:style w:type="character" w:customStyle="1" w:styleId="Char0">
    <w:name w:val="Υποσέλιδο Char"/>
    <w:basedOn w:val="a0"/>
    <w:link w:val="a4"/>
    <w:uiPriority w:val="99"/>
    <w:rsid w:val="0054172F"/>
  </w:style>
  <w:style w:type="paragraph" w:styleId="a5">
    <w:name w:val="Balloon Text"/>
    <w:basedOn w:val="a"/>
    <w:link w:val="Char1"/>
    <w:uiPriority w:val="99"/>
    <w:semiHidden/>
    <w:unhideWhenUsed/>
    <w:rsid w:val="0054172F"/>
    <w:rPr>
      <w:rFonts w:ascii="Times New Roman" w:hAnsi="Times New Roman" w:cs="Times New Roman"/>
      <w:sz w:val="18"/>
      <w:szCs w:val="18"/>
    </w:rPr>
  </w:style>
  <w:style w:type="character" w:customStyle="1" w:styleId="Char1">
    <w:name w:val="Κείμενο πλαισίου Char"/>
    <w:basedOn w:val="a0"/>
    <w:link w:val="a5"/>
    <w:uiPriority w:val="99"/>
    <w:semiHidden/>
    <w:rsid w:val="0054172F"/>
    <w:rPr>
      <w:rFonts w:ascii="Times New Roman" w:hAnsi="Times New Roman" w:cs="Times New Roman"/>
      <w:sz w:val="18"/>
      <w:szCs w:val="18"/>
    </w:rPr>
  </w:style>
  <w:style w:type="table" w:styleId="a6">
    <w:name w:val="Table Grid"/>
    <w:basedOn w:val="a1"/>
    <w:uiPriority w:val="59"/>
    <w:rsid w:val="00351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uiPriority w:val="99"/>
    <w:semiHidden/>
    <w:unhideWhenUsed/>
    <w:rsid w:val="00277187"/>
  </w:style>
  <w:style w:type="paragraph" w:styleId="a8">
    <w:name w:val="List Paragraph"/>
    <w:aliases w:val="EX Bullet"/>
    <w:basedOn w:val="a"/>
    <w:link w:val="Char2"/>
    <w:uiPriority w:val="34"/>
    <w:qFormat/>
    <w:rsid w:val="00A45441"/>
    <w:pPr>
      <w:ind w:left="720"/>
      <w:contextualSpacing/>
    </w:pPr>
  </w:style>
  <w:style w:type="character" w:styleId="-">
    <w:name w:val="Hyperlink"/>
    <w:basedOn w:val="a0"/>
    <w:uiPriority w:val="99"/>
    <w:unhideWhenUsed/>
    <w:rsid w:val="004B12ED"/>
    <w:rPr>
      <w:color w:val="0563C1" w:themeColor="hyperlink"/>
      <w:u w:val="single"/>
    </w:rPr>
  </w:style>
  <w:style w:type="character" w:styleId="a9">
    <w:name w:val="Unresolved Mention"/>
    <w:basedOn w:val="a0"/>
    <w:uiPriority w:val="99"/>
    <w:semiHidden/>
    <w:unhideWhenUsed/>
    <w:rsid w:val="004B12ED"/>
    <w:rPr>
      <w:color w:val="605E5C"/>
      <w:shd w:val="clear" w:color="auto" w:fill="E1DFDD"/>
    </w:rPr>
  </w:style>
  <w:style w:type="character" w:customStyle="1" w:styleId="Char2">
    <w:name w:val="Παράγραφος λίστας Char"/>
    <w:aliases w:val="EX Bullet Char"/>
    <w:link w:val="a8"/>
    <w:uiPriority w:val="34"/>
    <w:locked/>
    <w:rsid w:val="002931ED"/>
  </w:style>
  <w:style w:type="paragraph" w:customStyle="1" w:styleId="DehPressRelease">
    <w:name w:val="Deh_Press_Release"/>
    <w:basedOn w:val="a"/>
    <w:link w:val="DehPressReleaseChar"/>
    <w:qFormat/>
    <w:rsid w:val="004E7CE8"/>
    <w:pPr>
      <w:spacing w:after="160" w:line="259" w:lineRule="auto"/>
    </w:pPr>
    <w:rPr>
      <w:rFonts w:ascii="Ping LCG Regular" w:hAnsi="Ping LCG Regular"/>
      <w:sz w:val="22"/>
      <w:szCs w:val="28"/>
      <w:lang w:val="el-GR"/>
    </w:rPr>
  </w:style>
  <w:style w:type="character" w:customStyle="1" w:styleId="DehPressReleaseChar">
    <w:name w:val="Deh_Press_Release Char"/>
    <w:basedOn w:val="a0"/>
    <w:link w:val="DehPressRelease"/>
    <w:rsid w:val="004E7CE8"/>
    <w:rPr>
      <w:rFonts w:ascii="Ping LCG Regular" w:hAnsi="Ping LCG Regular"/>
      <w:sz w:val="22"/>
      <w:szCs w:val="28"/>
      <w:lang w:val="el-GR"/>
    </w:rPr>
  </w:style>
  <w:style w:type="character" w:styleId="aa">
    <w:name w:val="annotation reference"/>
    <w:basedOn w:val="a0"/>
    <w:uiPriority w:val="99"/>
    <w:semiHidden/>
    <w:unhideWhenUsed/>
    <w:rsid w:val="004E7CE8"/>
    <w:rPr>
      <w:sz w:val="16"/>
      <w:szCs w:val="16"/>
    </w:rPr>
  </w:style>
  <w:style w:type="paragraph" w:styleId="ab">
    <w:name w:val="annotation text"/>
    <w:basedOn w:val="a"/>
    <w:link w:val="Char3"/>
    <w:uiPriority w:val="99"/>
    <w:unhideWhenUsed/>
    <w:rsid w:val="004E7CE8"/>
    <w:rPr>
      <w:sz w:val="20"/>
      <w:szCs w:val="20"/>
    </w:rPr>
  </w:style>
  <w:style w:type="character" w:customStyle="1" w:styleId="Char3">
    <w:name w:val="Κείμενο σχολίου Char"/>
    <w:basedOn w:val="a0"/>
    <w:link w:val="ab"/>
    <w:uiPriority w:val="99"/>
    <w:rsid w:val="004E7CE8"/>
    <w:rPr>
      <w:sz w:val="20"/>
      <w:szCs w:val="20"/>
    </w:rPr>
  </w:style>
  <w:style w:type="paragraph" w:styleId="ac">
    <w:name w:val="Revision"/>
    <w:hidden/>
    <w:uiPriority w:val="99"/>
    <w:semiHidden/>
    <w:rsid w:val="00333A95"/>
  </w:style>
  <w:style w:type="paragraph" w:styleId="ad">
    <w:name w:val="footnote text"/>
    <w:basedOn w:val="a"/>
    <w:link w:val="Char4"/>
    <w:uiPriority w:val="99"/>
    <w:unhideWhenUsed/>
    <w:rsid w:val="00B038DD"/>
    <w:rPr>
      <w:rFonts w:ascii="Ping LCG Regular" w:hAnsi="Ping LCG Regular" w:cs="Times New Roman (Body CS)"/>
      <w:sz w:val="20"/>
      <w:szCs w:val="20"/>
    </w:rPr>
  </w:style>
  <w:style w:type="character" w:customStyle="1" w:styleId="Char4">
    <w:name w:val="Κείμενο υποσημείωσης Char"/>
    <w:basedOn w:val="a0"/>
    <w:link w:val="ad"/>
    <w:uiPriority w:val="99"/>
    <w:rsid w:val="00B038DD"/>
    <w:rPr>
      <w:rFonts w:ascii="Ping LCG Regular" w:hAnsi="Ping LCG Regular" w:cs="Times New Roman (Body CS)"/>
      <w:sz w:val="20"/>
      <w:szCs w:val="20"/>
    </w:rPr>
  </w:style>
  <w:style w:type="character" w:styleId="ae">
    <w:name w:val="footnote reference"/>
    <w:basedOn w:val="a0"/>
    <w:uiPriority w:val="99"/>
    <w:unhideWhenUsed/>
    <w:rsid w:val="00B038DD"/>
    <w:rPr>
      <w:vertAlign w:val="superscript"/>
    </w:rPr>
  </w:style>
  <w:style w:type="paragraph" w:styleId="Web">
    <w:name w:val="Normal (Web)"/>
    <w:basedOn w:val="a"/>
    <w:uiPriority w:val="99"/>
    <w:unhideWhenUsed/>
    <w:rsid w:val="0052195E"/>
    <w:pPr>
      <w:spacing w:before="100" w:beforeAutospacing="1" w:after="100" w:afterAutospacing="1"/>
    </w:pPr>
    <w:rPr>
      <w:rFonts w:ascii="Times New Roman" w:eastAsia="Times New Roman" w:hAnsi="Times New Roman" w:cs="Times New Roman"/>
    </w:rPr>
  </w:style>
  <w:style w:type="character" w:customStyle="1" w:styleId="2Char">
    <w:name w:val="Επικεφαλίδα 2 Char"/>
    <w:basedOn w:val="a0"/>
    <w:link w:val="2"/>
    <w:uiPriority w:val="9"/>
    <w:rsid w:val="00714C8B"/>
    <w:rPr>
      <w:rFonts w:ascii="Times New Roman" w:eastAsia="Times New Roman" w:hAnsi="Times New Roman" w:cs="Times New Roman"/>
      <w:b/>
      <w:bCs/>
      <w:sz w:val="36"/>
      <w:szCs w:val="36"/>
      <w:lang w:eastAsia="en-GB"/>
    </w:rPr>
  </w:style>
  <w:style w:type="character" w:customStyle="1" w:styleId="3Char">
    <w:name w:val="Επικεφαλίδα 3 Char"/>
    <w:basedOn w:val="a0"/>
    <w:link w:val="3"/>
    <w:uiPriority w:val="9"/>
    <w:semiHidden/>
    <w:rsid w:val="000E4DC2"/>
    <w:rPr>
      <w:rFonts w:asciiTheme="majorHAnsi" w:eastAsiaTheme="majorEastAsia" w:hAnsiTheme="majorHAnsi" w:cstheme="majorBidi"/>
      <w:color w:val="1F3763" w:themeColor="accent1" w:themeShade="7F"/>
    </w:rPr>
  </w:style>
  <w:style w:type="character" w:customStyle="1" w:styleId="1Char">
    <w:name w:val="Επικεφαλίδα 1 Char"/>
    <w:basedOn w:val="a0"/>
    <w:link w:val="1"/>
    <w:uiPriority w:val="9"/>
    <w:rsid w:val="00DB23C8"/>
    <w:rPr>
      <w:rFonts w:asciiTheme="majorHAnsi" w:eastAsiaTheme="majorEastAsia" w:hAnsiTheme="majorHAnsi" w:cstheme="majorBidi"/>
      <w:color w:val="2F5496" w:themeColor="accent1" w:themeShade="BF"/>
      <w:sz w:val="32"/>
      <w:szCs w:val="32"/>
    </w:rPr>
  </w:style>
  <w:style w:type="paragraph" w:styleId="af">
    <w:name w:val="annotation subject"/>
    <w:basedOn w:val="ab"/>
    <w:next w:val="ab"/>
    <w:link w:val="Char5"/>
    <w:uiPriority w:val="99"/>
    <w:semiHidden/>
    <w:unhideWhenUsed/>
    <w:rsid w:val="00805744"/>
    <w:rPr>
      <w:b/>
      <w:bCs/>
    </w:rPr>
  </w:style>
  <w:style w:type="character" w:customStyle="1" w:styleId="Char5">
    <w:name w:val="Θέμα σχολίου Char"/>
    <w:basedOn w:val="Char3"/>
    <w:link w:val="af"/>
    <w:uiPriority w:val="99"/>
    <w:semiHidden/>
    <w:rsid w:val="008057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4757">
      <w:bodyDiv w:val="1"/>
      <w:marLeft w:val="0"/>
      <w:marRight w:val="0"/>
      <w:marTop w:val="0"/>
      <w:marBottom w:val="0"/>
      <w:divBdr>
        <w:top w:val="none" w:sz="0" w:space="0" w:color="auto"/>
        <w:left w:val="none" w:sz="0" w:space="0" w:color="auto"/>
        <w:bottom w:val="none" w:sz="0" w:space="0" w:color="auto"/>
        <w:right w:val="none" w:sz="0" w:space="0" w:color="auto"/>
      </w:divBdr>
    </w:div>
    <w:div w:id="114370775">
      <w:bodyDiv w:val="1"/>
      <w:marLeft w:val="0"/>
      <w:marRight w:val="0"/>
      <w:marTop w:val="0"/>
      <w:marBottom w:val="0"/>
      <w:divBdr>
        <w:top w:val="none" w:sz="0" w:space="0" w:color="auto"/>
        <w:left w:val="none" w:sz="0" w:space="0" w:color="auto"/>
        <w:bottom w:val="none" w:sz="0" w:space="0" w:color="auto"/>
        <w:right w:val="none" w:sz="0" w:space="0" w:color="auto"/>
      </w:divBdr>
    </w:div>
    <w:div w:id="292055409">
      <w:bodyDiv w:val="1"/>
      <w:marLeft w:val="0"/>
      <w:marRight w:val="0"/>
      <w:marTop w:val="0"/>
      <w:marBottom w:val="0"/>
      <w:divBdr>
        <w:top w:val="none" w:sz="0" w:space="0" w:color="auto"/>
        <w:left w:val="none" w:sz="0" w:space="0" w:color="auto"/>
        <w:bottom w:val="none" w:sz="0" w:space="0" w:color="auto"/>
        <w:right w:val="none" w:sz="0" w:space="0" w:color="auto"/>
      </w:divBdr>
    </w:div>
    <w:div w:id="354501828">
      <w:bodyDiv w:val="1"/>
      <w:marLeft w:val="0"/>
      <w:marRight w:val="0"/>
      <w:marTop w:val="0"/>
      <w:marBottom w:val="0"/>
      <w:divBdr>
        <w:top w:val="none" w:sz="0" w:space="0" w:color="auto"/>
        <w:left w:val="none" w:sz="0" w:space="0" w:color="auto"/>
        <w:bottom w:val="none" w:sz="0" w:space="0" w:color="auto"/>
        <w:right w:val="none" w:sz="0" w:space="0" w:color="auto"/>
      </w:divBdr>
    </w:div>
    <w:div w:id="420415496">
      <w:bodyDiv w:val="1"/>
      <w:marLeft w:val="0"/>
      <w:marRight w:val="0"/>
      <w:marTop w:val="0"/>
      <w:marBottom w:val="0"/>
      <w:divBdr>
        <w:top w:val="none" w:sz="0" w:space="0" w:color="auto"/>
        <w:left w:val="none" w:sz="0" w:space="0" w:color="auto"/>
        <w:bottom w:val="none" w:sz="0" w:space="0" w:color="auto"/>
        <w:right w:val="none" w:sz="0" w:space="0" w:color="auto"/>
      </w:divBdr>
      <w:divsChild>
        <w:div w:id="1812558596">
          <w:marLeft w:val="0"/>
          <w:marRight w:val="0"/>
          <w:marTop w:val="0"/>
          <w:marBottom w:val="0"/>
          <w:divBdr>
            <w:top w:val="none" w:sz="0" w:space="0" w:color="auto"/>
            <w:left w:val="none" w:sz="0" w:space="0" w:color="auto"/>
            <w:bottom w:val="none" w:sz="0" w:space="0" w:color="auto"/>
            <w:right w:val="none" w:sz="0" w:space="0" w:color="auto"/>
          </w:divBdr>
        </w:div>
      </w:divsChild>
    </w:div>
    <w:div w:id="568806389">
      <w:bodyDiv w:val="1"/>
      <w:marLeft w:val="0"/>
      <w:marRight w:val="0"/>
      <w:marTop w:val="0"/>
      <w:marBottom w:val="0"/>
      <w:divBdr>
        <w:top w:val="none" w:sz="0" w:space="0" w:color="auto"/>
        <w:left w:val="none" w:sz="0" w:space="0" w:color="auto"/>
        <w:bottom w:val="none" w:sz="0" w:space="0" w:color="auto"/>
        <w:right w:val="none" w:sz="0" w:space="0" w:color="auto"/>
      </w:divBdr>
    </w:div>
    <w:div w:id="699743875">
      <w:bodyDiv w:val="1"/>
      <w:marLeft w:val="0"/>
      <w:marRight w:val="0"/>
      <w:marTop w:val="0"/>
      <w:marBottom w:val="0"/>
      <w:divBdr>
        <w:top w:val="none" w:sz="0" w:space="0" w:color="auto"/>
        <w:left w:val="none" w:sz="0" w:space="0" w:color="auto"/>
        <w:bottom w:val="none" w:sz="0" w:space="0" w:color="auto"/>
        <w:right w:val="none" w:sz="0" w:space="0" w:color="auto"/>
      </w:divBdr>
    </w:div>
    <w:div w:id="784618012">
      <w:bodyDiv w:val="1"/>
      <w:marLeft w:val="0"/>
      <w:marRight w:val="0"/>
      <w:marTop w:val="0"/>
      <w:marBottom w:val="0"/>
      <w:divBdr>
        <w:top w:val="none" w:sz="0" w:space="0" w:color="auto"/>
        <w:left w:val="none" w:sz="0" w:space="0" w:color="auto"/>
        <w:bottom w:val="none" w:sz="0" w:space="0" w:color="auto"/>
        <w:right w:val="none" w:sz="0" w:space="0" w:color="auto"/>
      </w:divBdr>
    </w:div>
    <w:div w:id="885221275">
      <w:bodyDiv w:val="1"/>
      <w:marLeft w:val="0"/>
      <w:marRight w:val="0"/>
      <w:marTop w:val="0"/>
      <w:marBottom w:val="0"/>
      <w:divBdr>
        <w:top w:val="none" w:sz="0" w:space="0" w:color="auto"/>
        <w:left w:val="none" w:sz="0" w:space="0" w:color="auto"/>
        <w:bottom w:val="none" w:sz="0" w:space="0" w:color="auto"/>
        <w:right w:val="none" w:sz="0" w:space="0" w:color="auto"/>
      </w:divBdr>
    </w:div>
    <w:div w:id="933248448">
      <w:bodyDiv w:val="1"/>
      <w:marLeft w:val="0"/>
      <w:marRight w:val="0"/>
      <w:marTop w:val="0"/>
      <w:marBottom w:val="0"/>
      <w:divBdr>
        <w:top w:val="none" w:sz="0" w:space="0" w:color="auto"/>
        <w:left w:val="none" w:sz="0" w:space="0" w:color="auto"/>
        <w:bottom w:val="none" w:sz="0" w:space="0" w:color="auto"/>
        <w:right w:val="none" w:sz="0" w:space="0" w:color="auto"/>
      </w:divBdr>
    </w:div>
    <w:div w:id="1012561424">
      <w:bodyDiv w:val="1"/>
      <w:marLeft w:val="0"/>
      <w:marRight w:val="0"/>
      <w:marTop w:val="0"/>
      <w:marBottom w:val="0"/>
      <w:divBdr>
        <w:top w:val="none" w:sz="0" w:space="0" w:color="auto"/>
        <w:left w:val="none" w:sz="0" w:space="0" w:color="auto"/>
        <w:bottom w:val="none" w:sz="0" w:space="0" w:color="auto"/>
        <w:right w:val="none" w:sz="0" w:space="0" w:color="auto"/>
      </w:divBdr>
    </w:div>
    <w:div w:id="1165121455">
      <w:bodyDiv w:val="1"/>
      <w:marLeft w:val="0"/>
      <w:marRight w:val="0"/>
      <w:marTop w:val="0"/>
      <w:marBottom w:val="0"/>
      <w:divBdr>
        <w:top w:val="none" w:sz="0" w:space="0" w:color="auto"/>
        <w:left w:val="none" w:sz="0" w:space="0" w:color="auto"/>
        <w:bottom w:val="none" w:sz="0" w:space="0" w:color="auto"/>
        <w:right w:val="none" w:sz="0" w:space="0" w:color="auto"/>
      </w:divBdr>
      <w:divsChild>
        <w:div w:id="1700743929">
          <w:marLeft w:val="0"/>
          <w:marRight w:val="0"/>
          <w:marTop w:val="0"/>
          <w:marBottom w:val="0"/>
          <w:divBdr>
            <w:top w:val="none" w:sz="0" w:space="0" w:color="auto"/>
            <w:left w:val="none" w:sz="0" w:space="0" w:color="auto"/>
            <w:bottom w:val="none" w:sz="0" w:space="0" w:color="auto"/>
            <w:right w:val="none" w:sz="0" w:space="0" w:color="auto"/>
          </w:divBdr>
        </w:div>
      </w:divsChild>
    </w:div>
    <w:div w:id="1275864989">
      <w:bodyDiv w:val="1"/>
      <w:marLeft w:val="0"/>
      <w:marRight w:val="0"/>
      <w:marTop w:val="0"/>
      <w:marBottom w:val="0"/>
      <w:divBdr>
        <w:top w:val="none" w:sz="0" w:space="0" w:color="auto"/>
        <w:left w:val="none" w:sz="0" w:space="0" w:color="auto"/>
        <w:bottom w:val="none" w:sz="0" w:space="0" w:color="auto"/>
        <w:right w:val="none" w:sz="0" w:space="0" w:color="auto"/>
      </w:divBdr>
    </w:div>
    <w:div w:id="1422490449">
      <w:bodyDiv w:val="1"/>
      <w:marLeft w:val="0"/>
      <w:marRight w:val="0"/>
      <w:marTop w:val="0"/>
      <w:marBottom w:val="0"/>
      <w:divBdr>
        <w:top w:val="none" w:sz="0" w:space="0" w:color="auto"/>
        <w:left w:val="none" w:sz="0" w:space="0" w:color="auto"/>
        <w:bottom w:val="none" w:sz="0" w:space="0" w:color="auto"/>
        <w:right w:val="none" w:sz="0" w:space="0" w:color="auto"/>
      </w:divBdr>
    </w:div>
    <w:div w:id="1621296734">
      <w:bodyDiv w:val="1"/>
      <w:marLeft w:val="0"/>
      <w:marRight w:val="0"/>
      <w:marTop w:val="0"/>
      <w:marBottom w:val="0"/>
      <w:divBdr>
        <w:top w:val="none" w:sz="0" w:space="0" w:color="auto"/>
        <w:left w:val="none" w:sz="0" w:space="0" w:color="auto"/>
        <w:bottom w:val="none" w:sz="0" w:space="0" w:color="auto"/>
        <w:right w:val="none" w:sz="0" w:space="0" w:color="auto"/>
      </w:divBdr>
    </w:div>
    <w:div w:id="1871608530">
      <w:bodyDiv w:val="1"/>
      <w:marLeft w:val="0"/>
      <w:marRight w:val="0"/>
      <w:marTop w:val="0"/>
      <w:marBottom w:val="0"/>
      <w:divBdr>
        <w:top w:val="none" w:sz="0" w:space="0" w:color="auto"/>
        <w:left w:val="none" w:sz="0" w:space="0" w:color="auto"/>
        <w:bottom w:val="none" w:sz="0" w:space="0" w:color="auto"/>
        <w:right w:val="none" w:sz="0" w:space="0" w:color="auto"/>
      </w:divBdr>
    </w:div>
    <w:div w:id="2140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ion@dei.gr" TargetMode="External"/><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hyperlink" Target="mailto:ir@ppcgroup.com" TargetMode="External"/><Relationship Id="rId17" Type="http://schemas.openxmlformats.org/officeDocument/2006/relationships/image" Target="media/image5.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2.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5.jpeg"/></Relationships>
</file>

<file path=word/_rels/footer3.xml.rels><?xml version="1.0" encoding="UTF-8" standalone="yes"?>
<Relationships xmlns="http://schemas.openxmlformats.org/package/2006/relationships"><Relationship Id="rId1" Type="http://schemas.openxmlformats.org/officeDocument/2006/relationships/image" Target="media/image17.jpe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e01fe4-ae50-4c57-9906-a3e0af1b3929" xsi:nil="true"/>
    <lcf76f155ced4ddcb4097134ff3c332f xmlns="d4a73344-bfe6-440b-9b69-98a86bbafe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156DD0188A2F454B943ADEE99353ADCA" ma:contentTypeVersion="20" ma:contentTypeDescription="Δημιουργία νέου εγγράφου" ma:contentTypeScope="" ma:versionID="e39ce4dff06c5d1501f96686d94f339f">
  <xsd:schema xmlns:xsd="http://www.w3.org/2001/XMLSchema" xmlns:xs="http://www.w3.org/2001/XMLSchema" xmlns:p="http://schemas.microsoft.com/office/2006/metadata/properties" xmlns:ns2="d4a73344-bfe6-440b-9b69-98a86bbafe65" xmlns:ns3="a7e01fe4-ae50-4c57-9906-a3e0af1b3929" targetNamespace="http://schemas.microsoft.com/office/2006/metadata/properties" ma:root="true" ma:fieldsID="a9b3cb088f9749417b872dcdc11360e1" ns2:_="" ns3:_="">
    <xsd:import namespace="d4a73344-bfe6-440b-9b69-98a86bbafe65"/>
    <xsd:import namespace="a7e01fe4-ae50-4c57-9906-a3e0af1b39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73344-bfe6-440b-9b69-98a86bbaf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8e84d12a-bbe8-425e-a1dd-79ebf8e7e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e01fe4-ae50-4c57-9906-a3e0af1b392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ce3957d-0996-4bd8-adeb-86c932f9cb50}" ma:internalName="TaxCatchAll" ma:showField="CatchAllData" ma:web="a7e01fe4-ae50-4c57-9906-a3e0af1b392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B2FCB-7B41-4761-9AA7-76D41FD382B9}">
  <ds:schemaRefs>
    <ds:schemaRef ds:uri="http://schemas.microsoft.com/sharepoint/v3/contenttype/forms"/>
  </ds:schemaRefs>
</ds:datastoreItem>
</file>

<file path=customXml/itemProps2.xml><?xml version="1.0" encoding="utf-8"?>
<ds:datastoreItem xmlns:ds="http://schemas.openxmlformats.org/officeDocument/2006/customXml" ds:itemID="{33BE97F6-0ADB-4EED-A5EB-CFA6B4A1D925}">
  <ds:schemaRefs>
    <ds:schemaRef ds:uri="http://schemas.microsoft.com/office/2006/metadata/properties"/>
    <ds:schemaRef ds:uri="http://schemas.microsoft.com/office/infopath/2007/PartnerControls"/>
    <ds:schemaRef ds:uri="a7e01fe4-ae50-4c57-9906-a3e0af1b3929"/>
    <ds:schemaRef ds:uri="d4a73344-bfe6-440b-9b69-98a86bbafe65"/>
  </ds:schemaRefs>
</ds:datastoreItem>
</file>

<file path=customXml/itemProps3.xml><?xml version="1.0" encoding="utf-8"?>
<ds:datastoreItem xmlns:ds="http://schemas.openxmlformats.org/officeDocument/2006/customXml" ds:itemID="{57D2B620-97D9-4539-9773-74CA7BD2B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73344-bfe6-440b-9b69-98a86bbafe65"/>
    <ds:schemaRef ds:uri="a7e01fe4-ae50-4c57-9906-a3e0af1b3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2414C3-897F-CA45-994C-929EB21B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2760</Words>
  <Characters>15736</Characters>
  <Application>Microsoft Office Word</Application>
  <DocSecurity>0</DocSecurity>
  <Lines>131</Lines>
  <Paragraphs>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Anastasia Kyrianidi Nikolaidi</cp:lastModifiedBy>
  <cp:revision>2</cp:revision>
  <cp:lastPrinted>2024-05-20T10:08:00Z</cp:lastPrinted>
  <dcterms:created xsi:type="dcterms:W3CDTF">2024-08-06T15:06:00Z</dcterms:created>
  <dcterms:modified xsi:type="dcterms:W3CDTF">2024-08-06T15:06:00Z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0x010100156DD0188A2F454B943ADEE99353ADCA</vt:lpwstr>
  </property>
  <property fmtid="{D5CDD505-2E9C-101B-9397-08002B2CF9AE}" pid="3" name="MediaServiceImageTags">
    <vt:lpwstr/>
  </property>
</Properties>
</file>